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602" w:firstLineChars="200"/>
        <w:textAlignment w:val="baseline"/>
        <w:rPr>
          <w:rFonts w:ascii="黑体" w:hAnsi="黑体" w:eastAsia="黑体" w:cs="黑体"/>
          <w:sz w:val="30"/>
          <w:szCs w:val="30"/>
        </w:rPr>
      </w:pPr>
      <w:bookmarkStart w:id="0" w:name="_Toc32734"/>
      <w:bookmarkStart w:id="1" w:name="_Toc5363"/>
      <w:bookmarkStart w:id="2" w:name="_Toc4525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1.</w:t>
      </w:r>
      <w:r>
        <w:rPr>
          <w:rFonts w:hint="eastAsia" w:ascii="黑体" w:hAnsi="黑体" w:eastAsia="黑体" w:cs="黑体"/>
          <w:sz w:val="30"/>
          <w:szCs w:val="30"/>
        </w:rPr>
        <w:t xml:space="preserve"> 供应商操作手册</w:t>
      </w:r>
      <w:bookmarkEnd w:id="0"/>
      <w:bookmarkEnd w:id="1"/>
      <w:bookmarkEnd w:id="2"/>
      <w:bookmarkStart w:id="3" w:name="_Toc14839"/>
    </w:p>
    <w:p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楷体" w:hAnsi="楷体" w:eastAsia="楷体" w:cs="楷体"/>
          <w:szCs w:val="28"/>
        </w:rPr>
      </w:pPr>
      <w:bookmarkStart w:id="4" w:name="_Toc13925"/>
      <w:bookmarkStart w:id="5" w:name="_Toc3570"/>
      <w:bookmarkStart w:id="6" w:name="_Toc27720"/>
      <w:r>
        <w:rPr>
          <w:rFonts w:hint="eastAsia" w:ascii="楷体" w:hAnsi="楷体" w:eastAsia="楷体" w:cs="楷体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szCs w:val="28"/>
        </w:rPr>
        <w:t>.1 登录网站</w:t>
      </w:r>
      <w:bookmarkEnd w:id="3"/>
      <w:bookmarkEnd w:id="4"/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在浏览器中搜索中世e招网址：</w:t>
      </w:r>
      <w:r>
        <w:rPr>
          <w:rFonts w:hint="eastAsia" w:ascii="仿宋" w:hAnsi="仿宋" w:eastAsia="仿宋" w:cs="仿宋"/>
          <w:b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b/>
          <w:sz w:val="28"/>
          <w:szCs w:val="28"/>
        </w:rPr>
        <w:instrText xml:space="preserve"> HYPERLINK "https://nxzbtb.com.cn，进入官网。" </w:instrText>
      </w:r>
      <w:r>
        <w:rPr>
          <w:rFonts w:hint="eastAsia" w:ascii="仿宋" w:hAnsi="仿宋" w:eastAsia="仿宋" w:cs="仿宋"/>
          <w:b/>
          <w:sz w:val="28"/>
          <w:szCs w:val="28"/>
        </w:rPr>
        <w:fldChar w:fldCharType="separate"/>
      </w:r>
      <w:r>
        <w:rPr>
          <w:rStyle w:val="7"/>
          <w:rFonts w:hint="eastAsia" w:ascii="仿宋" w:hAnsi="仿宋" w:eastAsia="仿宋" w:cs="仿宋"/>
          <w:b/>
          <w:sz w:val="28"/>
          <w:szCs w:val="28"/>
        </w:rPr>
        <w:t>https://nxzbtb.com.cn</w:t>
      </w:r>
      <w:r>
        <w:rPr>
          <w:rStyle w:val="7"/>
          <w:rFonts w:hint="eastAsia" w:ascii="仿宋" w:hAnsi="仿宋" w:eastAsia="仿宋" w:cs="仿宋"/>
          <w:sz w:val="28"/>
          <w:szCs w:val="28"/>
        </w:rPr>
        <w:t>，进入官网。</w:t>
      </w:r>
      <w:r>
        <w:rPr>
          <w:rFonts w:hint="eastAsia" w:ascii="仿宋" w:hAnsi="仿宋" w:eastAsia="仿宋" w:cs="仿宋"/>
          <w:b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ascii="仿宋" w:hAnsi="仿宋" w:eastAsia="仿宋" w:cs="仿宋"/>
          <w:b/>
          <w:sz w:val="28"/>
          <w:szCs w:val="28"/>
        </w:rPr>
        <w:t>“政府采购交易系统</w:t>
      </w:r>
      <w:r>
        <w:rPr>
          <w:rFonts w:hint="eastAsia" w:ascii="仿宋" w:hAnsi="仿宋" w:eastAsia="仿宋" w:cs="仿宋"/>
          <w:sz w:val="28"/>
          <w:szCs w:val="28"/>
        </w:rPr>
        <w:t>”进入政采系统。</w:t>
      </w: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606415" cy="1920875"/>
            <wp:effectExtent l="0" t="0" r="1333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overflowPunct w:val="0"/>
        <w:ind w:left="560" w:hanging="560" w:hangingChars="200"/>
        <w:rPr>
          <w:rFonts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</w:rPr>
      </w:pP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rPr>
          <w:rFonts w:ascii="楷体" w:hAnsi="楷体" w:eastAsia="楷体" w:cs="楷体"/>
          <w:szCs w:val="28"/>
        </w:rPr>
      </w:pPr>
      <w:bookmarkStart w:id="7" w:name="_Toc30470"/>
      <w:bookmarkStart w:id="8" w:name="_Toc31792"/>
      <w:bookmarkStart w:id="9" w:name="_Toc25799"/>
      <w:bookmarkStart w:id="10" w:name="_Toc14490"/>
      <w:r>
        <w:rPr>
          <w:rFonts w:hint="eastAsia" w:ascii="楷体" w:hAnsi="楷体" w:eastAsia="楷体" w:cs="楷体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szCs w:val="28"/>
        </w:rPr>
        <w:t>.2 安装系统驱动</w:t>
      </w:r>
      <w:bookmarkEnd w:id="7"/>
      <w:bookmarkEnd w:id="8"/>
      <w:bookmarkEnd w:id="9"/>
      <w:bookmarkEnd w:id="10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hint="default" w:ascii="仿宋" w:hAnsi="仿宋" w:eastAsia="仿宋" w:cs="仿宋"/>
          <w:sz w:val="28"/>
          <w:szCs w:val="28"/>
          <w:lang w:val="en-US"/>
        </w:rPr>
      </w:pPr>
      <w:r>
        <w:rPr>
          <w:rFonts w:hint="eastAsia" w:ascii="仿宋" w:hAnsi="仿宋" w:eastAsia="仿宋" w:cs="仿宋"/>
          <w:sz w:val="28"/>
          <w:szCs w:val="28"/>
        </w:rPr>
        <w:t>系统要求必须用win7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以上</w:t>
      </w:r>
      <w:r>
        <w:rPr>
          <w:rFonts w:hint="eastAsia" w:ascii="仿宋" w:hAnsi="仿宋" w:eastAsia="仿宋" w:cs="仿宋"/>
          <w:sz w:val="28"/>
          <w:szCs w:val="28"/>
        </w:rPr>
        <w:t>系统的电脑；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浏览器使用谷歌、360极速、360安全浏览器，</w:t>
      </w:r>
      <w:r>
        <w:rPr>
          <w:rFonts w:hint="eastAsia" w:ascii="仿宋" w:hAnsi="仿宋" w:eastAsia="仿宋" w:cs="仿宋"/>
          <w:sz w:val="28"/>
          <w:szCs w:val="28"/>
        </w:rPr>
        <w:t>其次安装压缩包里标注的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</w:rPr>
        <w:t>个驱动方可正常使用系统。注：安装驱动时要关闭所有浏览器和office、wps软件，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关闭杀毒软件，以管理员身份运行安装。如之前已安装旧驱动，卸载驱动重新安装。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具体操作步骤请看网站首页“下载专区-设置系统环境及安装驱动操作手册”。</w:t>
      </w:r>
    </w:p>
    <w:p>
      <w:pPr>
        <w:widowControl w:val="0"/>
        <w:kinsoku/>
        <w:overflowPunct w:val="0"/>
        <w:spacing w:line="276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widowControl w:val="0"/>
        <w:kinsoku/>
        <w:overflowPunct w:val="0"/>
        <w:spacing w:line="276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32400" cy="2992755"/>
            <wp:effectExtent l="0" t="0" r="6350" b="17145"/>
            <wp:docPr id="215" name="图片 1" descr="C:\Users\ADMINI~1\AppData\Local\Temp\WeChat Files\0931447ba9110163bff2dbd12eddb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1" descr="C:\Users\ADMINI~1\AppData\Local\Temp\WeChat Files\0931447ba9110163bff2dbd12eddb3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overflowPunct w:val="0"/>
        <w:spacing w:line="276" w:lineRule="auto"/>
        <w:rPr>
          <w:rFonts w:ascii="仿宋" w:hAnsi="仿宋" w:eastAsia="仿宋" w:cs="仿宋"/>
          <w:sz w:val="28"/>
          <w:szCs w:val="28"/>
        </w:rPr>
      </w:pP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605780" cy="683260"/>
            <wp:effectExtent l="0" t="0" r="1397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overflowPunct w:val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楷体" w:hAnsi="楷体" w:eastAsia="楷体" w:cs="楷体"/>
          <w:szCs w:val="28"/>
        </w:rPr>
      </w:pPr>
      <w:bookmarkStart w:id="11" w:name="_Toc28092"/>
      <w:bookmarkStart w:id="12" w:name="_Toc22106"/>
      <w:bookmarkStart w:id="13" w:name="_Toc1419"/>
      <w:bookmarkStart w:id="14" w:name="_Toc20233"/>
      <w:r>
        <w:rPr>
          <w:rFonts w:hint="eastAsia" w:ascii="楷体" w:hAnsi="楷体" w:eastAsia="楷体" w:cs="楷体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szCs w:val="28"/>
        </w:rPr>
        <w:t>.3 注册账号</w:t>
      </w:r>
      <w:bookmarkEnd w:id="11"/>
      <w:bookmarkEnd w:id="12"/>
      <w:bookmarkEnd w:id="13"/>
      <w:bookmarkEnd w:id="14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ascii="仿宋" w:hAnsi="仿宋" w:eastAsia="仿宋" w:cs="仿宋"/>
          <w:b/>
          <w:sz w:val="28"/>
          <w:szCs w:val="28"/>
        </w:rPr>
        <w:t>“用户注册”</w:t>
      </w:r>
      <w:r>
        <w:rPr>
          <w:rFonts w:hint="eastAsia" w:ascii="仿宋" w:hAnsi="仿宋" w:eastAsia="仿宋" w:cs="仿宋"/>
          <w:sz w:val="28"/>
          <w:szCs w:val="28"/>
        </w:rPr>
        <w:t>按钮，投标单位选择</w:t>
      </w:r>
      <w:r>
        <w:rPr>
          <w:rFonts w:hint="eastAsia" w:ascii="仿宋" w:hAnsi="仿宋" w:eastAsia="仿宋" w:cs="仿宋"/>
          <w:b/>
          <w:sz w:val="28"/>
          <w:szCs w:val="28"/>
        </w:rPr>
        <w:t>“供应商”</w:t>
      </w:r>
      <w:r>
        <w:rPr>
          <w:rFonts w:hint="eastAsia" w:ascii="仿宋" w:hAnsi="仿宋" w:eastAsia="仿宋" w:cs="仿宋"/>
          <w:sz w:val="28"/>
          <w:szCs w:val="28"/>
        </w:rPr>
        <w:t>角色，再点击同意按钮，进行下一步注册账号环节，最后提交。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然后点击</w:t>
      </w:r>
      <w:r>
        <w:rPr>
          <w:rFonts w:hint="eastAsia" w:ascii="仿宋" w:hAnsi="仿宋" w:eastAsia="仿宋" w:cs="仿宋"/>
          <w:b/>
          <w:sz w:val="28"/>
          <w:szCs w:val="28"/>
        </w:rPr>
        <w:t>“账号登录</w:t>
      </w:r>
      <w:r>
        <w:rPr>
          <w:rFonts w:hint="eastAsia" w:ascii="仿宋" w:hAnsi="仿宋" w:eastAsia="仿宋" w:cs="仿宋"/>
          <w:sz w:val="28"/>
          <w:szCs w:val="28"/>
        </w:rPr>
        <w:t>”，用注册的账号登录进系统。</w:t>
      </w: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105400" cy="3058795"/>
            <wp:effectExtent l="0" t="0" r="0" b="8255"/>
            <wp:docPr id="2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131435" cy="3608705"/>
            <wp:effectExtent l="0" t="0" r="12065" b="10795"/>
            <wp:docPr id="2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overflowPunct w:val="0"/>
        <w:rPr>
          <w:rFonts w:ascii="仿宋" w:hAnsi="仿宋" w:eastAsia="仿宋" w:cs="仿宋"/>
          <w:sz w:val="28"/>
          <w:szCs w:val="28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楷体" w:hAnsi="楷体" w:eastAsia="楷体" w:cs="楷体"/>
          <w:szCs w:val="28"/>
        </w:rPr>
      </w:pPr>
      <w:bookmarkStart w:id="15" w:name="_Toc23269"/>
      <w:bookmarkStart w:id="16" w:name="_Toc30059"/>
      <w:bookmarkStart w:id="17" w:name="_Toc1900"/>
      <w:bookmarkStart w:id="18" w:name="_Toc26046"/>
      <w:r>
        <w:rPr>
          <w:rFonts w:hint="eastAsia" w:ascii="楷体" w:hAnsi="楷体" w:eastAsia="楷体" w:cs="楷体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szCs w:val="28"/>
        </w:rPr>
        <w:t>.4 完善单位信息</w:t>
      </w:r>
      <w:bookmarkEnd w:id="15"/>
      <w:bookmarkEnd w:id="16"/>
      <w:bookmarkEnd w:id="17"/>
      <w:bookmarkEnd w:id="18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点击账户管理下的</w:t>
      </w:r>
      <w:r>
        <w:rPr>
          <w:rFonts w:hint="eastAsia" w:ascii="仿宋" w:hAnsi="仿宋" w:eastAsia="仿宋" w:cs="仿宋"/>
          <w:b/>
          <w:sz w:val="28"/>
          <w:szCs w:val="28"/>
        </w:rPr>
        <w:t>“单位信息”</w:t>
      </w:r>
      <w:r>
        <w:rPr>
          <w:rFonts w:hint="eastAsia" w:ascii="仿宋" w:hAnsi="仿宋" w:eastAsia="仿宋" w:cs="仿宋"/>
          <w:sz w:val="28"/>
          <w:szCs w:val="28"/>
        </w:rPr>
        <w:t>菜单，进入单位信息管理页面，如下图：</w:t>
      </w:r>
    </w:p>
    <w:p>
      <w:pPr>
        <w:widowControl w:val="0"/>
        <w:kinsoku/>
        <w:overflowPunct w:val="0"/>
        <w:rPr>
          <w:rFonts w:ascii="仿宋" w:hAnsi="仿宋" w:eastAsia="仿宋" w:cs="仿宋"/>
          <w:sz w:val="28"/>
          <w:szCs w:val="28"/>
        </w:rPr>
      </w:pP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331460" cy="1564005"/>
            <wp:effectExtent l="0" t="0" r="2540" b="17145"/>
            <wp:docPr id="2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overflowPunct w:val="0"/>
        <w:rPr>
          <w:rFonts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ascii="仿宋" w:hAnsi="仿宋" w:eastAsia="仿宋" w:cs="仿宋"/>
          <w:b/>
          <w:sz w:val="28"/>
          <w:szCs w:val="28"/>
        </w:rPr>
        <w:t>“编辑”</w:t>
      </w:r>
      <w:r>
        <w:rPr>
          <w:rFonts w:hint="eastAsia" w:ascii="仿宋" w:hAnsi="仿宋" w:eastAsia="仿宋" w:cs="仿宋"/>
          <w:sz w:val="28"/>
          <w:szCs w:val="28"/>
        </w:rPr>
        <w:t>按钮，按照步骤依次填写相关信息并提交，待工作人员审核后即可登陆账号。</w:t>
      </w:r>
    </w:p>
    <w:p>
      <w:pPr>
        <w:widowControl w:val="0"/>
        <w:kinsoku/>
        <w:overflowPunct w:val="0"/>
        <w:rPr>
          <w:rFonts w:ascii="仿宋" w:hAnsi="仿宋" w:eastAsia="仿宋" w:cs="仿宋"/>
          <w:sz w:val="28"/>
          <w:szCs w:val="28"/>
        </w:rPr>
      </w:pP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340350" cy="2499360"/>
            <wp:effectExtent l="0" t="0" r="12700" b="15240"/>
            <wp:docPr id="2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right="0" w:rightChars="0" w:firstLine="562" w:firstLineChars="200"/>
        <w:textAlignment w:val="baseline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right="0" w:rightChars="0" w:firstLine="562" w:firstLineChars="200"/>
        <w:textAlignment w:val="baseline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right="0" w:rightChars="0" w:firstLine="562" w:firstLineChars="200"/>
        <w:textAlignment w:val="baseline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（1）单位营业执照复印件要加盖公章上传。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right="0" w:rightChars="0" w:firstLine="562" w:firstLineChars="200"/>
        <w:textAlignment w:val="baseline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（2）如果营业执照有效期是长期，填2099年12月31日。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right="0" w:rightChars="0" w:firstLine="562" w:firstLineChars="200"/>
        <w:textAlignment w:val="baseline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bookmarkStart w:id="19" w:name="_Toc31373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以下操作需用CA锁登录，账号登录只显示“账户管理”和“平台服务”（即CA办理）</w:t>
      </w:r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楷体" w:hAnsi="楷体" w:eastAsia="楷体" w:cs="楷体"/>
          <w:szCs w:val="28"/>
        </w:rPr>
      </w:pPr>
      <w:bookmarkStart w:id="20" w:name="_Toc28436"/>
      <w:bookmarkStart w:id="21" w:name="_Toc32149"/>
      <w:bookmarkStart w:id="22" w:name="_Toc12024"/>
      <w:r>
        <w:rPr>
          <w:rFonts w:hint="eastAsia" w:ascii="楷体" w:hAnsi="楷体" w:eastAsia="楷体" w:cs="楷体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szCs w:val="28"/>
        </w:rPr>
        <w:t>.5 办理CA锁（北京CA）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在“平台服务—商城”选择</w:t>
      </w:r>
      <w:r>
        <w:rPr>
          <w:rFonts w:hint="eastAsia" w:ascii="仿宋" w:hAnsi="仿宋" w:eastAsia="仿宋" w:cs="仿宋"/>
          <w:b/>
          <w:sz w:val="28"/>
          <w:szCs w:val="28"/>
        </w:rPr>
        <w:t>“新办密钥</w:t>
      </w:r>
      <w:r>
        <w:rPr>
          <w:rFonts w:hint="eastAsia" w:ascii="仿宋" w:hAnsi="仿宋" w:eastAsia="仿宋" w:cs="仿宋"/>
          <w:sz w:val="28"/>
          <w:szCs w:val="28"/>
        </w:rPr>
        <w:t>”业务即可。</w:t>
      </w: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81295" cy="3115310"/>
            <wp:effectExtent l="0" t="0" r="14605" b="8890"/>
            <wp:docPr id="2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overflowPunct w:val="0"/>
        <w:rPr>
          <w:rFonts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firstLine="562" w:firstLineChars="200"/>
        <w:textAlignment w:val="baseline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firstLine="562" w:firstLineChars="200"/>
        <w:textAlignment w:val="baseline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CA锁统一线上商城下单购买，工作人员办理后联系客户确认邮寄或自取皆可。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2）现在办理的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CA锁初始密码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为绑定手机短信接收到的动态码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。</w:t>
      </w:r>
      <w:bookmarkEnd w:id="19"/>
      <w:bookmarkEnd w:id="20"/>
      <w:bookmarkEnd w:id="21"/>
      <w:bookmarkEnd w:id="22"/>
      <w:bookmarkStart w:id="23" w:name="_Toc8777"/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widowControl w:val="0"/>
        <w:kinsoku/>
        <w:overflowPunct w:val="0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楷体" w:hAnsi="楷体" w:eastAsia="楷体" w:cs="楷体"/>
          <w:szCs w:val="28"/>
        </w:rPr>
      </w:pPr>
      <w:bookmarkStart w:id="24" w:name="_Toc11684"/>
      <w:bookmarkStart w:id="25" w:name="_Toc4160"/>
      <w:bookmarkStart w:id="26" w:name="_Toc23487"/>
      <w:r>
        <w:rPr>
          <w:rFonts w:hint="eastAsia" w:ascii="楷体" w:hAnsi="楷体" w:eastAsia="楷体" w:cs="楷体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szCs w:val="28"/>
        </w:rPr>
        <w:t>.6 项目报名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在“报名管理”菜单查询到要报名的项目后，点击</w:t>
      </w:r>
      <w:r>
        <w:rPr>
          <w:rFonts w:hint="eastAsia" w:ascii="仿宋" w:hAnsi="仿宋" w:eastAsia="仿宋" w:cs="仿宋"/>
          <w:b/>
          <w:sz w:val="28"/>
          <w:szCs w:val="28"/>
        </w:rPr>
        <w:t>“报名”</w:t>
      </w:r>
      <w:r>
        <w:rPr>
          <w:rFonts w:hint="eastAsia" w:ascii="仿宋" w:hAnsi="仿宋" w:eastAsia="仿宋" w:cs="仿宋"/>
          <w:sz w:val="28"/>
          <w:szCs w:val="28"/>
        </w:rPr>
        <w:t>按钮，进入报名页面，如图：</w:t>
      </w: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427980" cy="2938780"/>
            <wp:effectExtent l="0" t="0" r="1270" b="13970"/>
            <wp:docPr id="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overflowPunct w:val="0"/>
        <w:rPr>
          <w:rFonts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right="0"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勾选需要报名的包段，上传报名材料，填写报名信息，点击</w:t>
      </w:r>
      <w:r>
        <w:rPr>
          <w:rFonts w:hint="eastAsia" w:ascii="仿宋" w:hAnsi="仿宋" w:eastAsia="仿宋" w:cs="仿宋"/>
          <w:b/>
          <w:sz w:val="28"/>
          <w:szCs w:val="28"/>
        </w:rPr>
        <w:t>“报名”</w:t>
      </w:r>
      <w:r>
        <w:rPr>
          <w:rFonts w:hint="eastAsia" w:ascii="仿宋" w:hAnsi="仿宋" w:eastAsia="仿宋" w:cs="仿宋"/>
          <w:sz w:val="28"/>
          <w:szCs w:val="28"/>
        </w:rPr>
        <w:t>，当报名状态显示“已通过”，证明项目已报名成功。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right="0"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注：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right="0" w:rightChars="0" w:firstLine="562" w:firstLineChars="200"/>
        <w:textAlignment w:val="baseline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/>
          <w:sz w:val="28"/>
          <w:szCs w:val="28"/>
        </w:rPr>
        <w:t>如果点击“报名”按钮没有反应，按钮呈灰色，原因是没有安装驱动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right="0" w:rightChars="0" w:firstLine="562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/>
          <w:sz w:val="28"/>
          <w:szCs w:val="28"/>
        </w:rPr>
        <w:t>如需上传相应报名资料请联系代理公司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widowControl w:val="0"/>
        <w:tabs>
          <w:tab w:val="left" w:pos="7383"/>
        </w:tabs>
        <w:kinsoku/>
        <w:overflowPunct w:val="0"/>
        <w:ind w:right="220"/>
        <w:rPr>
          <w:rFonts w:ascii="仿宋" w:hAnsi="仿宋" w:eastAsia="仿宋" w:cs="仿宋"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br w:type="page"/>
      </w:r>
    </w:p>
    <w:bookmarkEnd w:id="23"/>
    <w:bookmarkEnd w:id="24"/>
    <w:bookmarkEnd w:id="25"/>
    <w:bookmarkEnd w:id="26"/>
    <w:p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楷体" w:hAnsi="楷体" w:eastAsia="楷体" w:cs="楷体"/>
          <w:szCs w:val="28"/>
        </w:rPr>
      </w:pPr>
      <w:bookmarkStart w:id="27" w:name="_Toc8861"/>
      <w:bookmarkStart w:id="28" w:name="_Toc32572"/>
      <w:bookmarkStart w:id="29" w:name="_Toc12309"/>
      <w:bookmarkStart w:id="30" w:name="_Toc22888"/>
      <w:r>
        <w:rPr>
          <w:rFonts w:hint="eastAsia" w:ascii="楷体" w:hAnsi="楷体" w:eastAsia="楷体" w:cs="楷体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szCs w:val="28"/>
        </w:rPr>
        <w:t xml:space="preserve">.7 </w:t>
      </w:r>
      <w:bookmarkEnd w:id="27"/>
      <w:bookmarkEnd w:id="28"/>
      <w:bookmarkEnd w:id="29"/>
      <w:bookmarkEnd w:id="30"/>
      <w:r>
        <w:rPr>
          <w:rFonts w:hint="eastAsia" w:ascii="楷体" w:hAnsi="楷体" w:eastAsia="楷体" w:cs="楷体"/>
          <w:szCs w:val="28"/>
        </w:rPr>
        <w:t>下载招标文件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项目报名成功后，在“文件下载”菜单里免费下载招标文件，如图：</w:t>
      </w:r>
    </w:p>
    <w:p>
      <w:pPr>
        <w:widowControl w:val="0"/>
        <w:kinsoku/>
        <w:overflowPunct w:val="0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161915" cy="3037840"/>
            <wp:effectExtent l="0" t="0" r="635" b="10160"/>
            <wp:docPr id="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overflowPunct w:val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楷体" w:hAnsi="楷体" w:eastAsia="楷体" w:cs="楷体"/>
          <w:szCs w:val="28"/>
        </w:rPr>
      </w:pPr>
      <w:bookmarkStart w:id="31" w:name="_Toc14275"/>
      <w:bookmarkStart w:id="32" w:name="_Toc9272"/>
      <w:bookmarkStart w:id="33" w:name="_Toc31282"/>
      <w:bookmarkStart w:id="34" w:name="_Toc5186"/>
      <w:r>
        <w:rPr>
          <w:rFonts w:hint="eastAsia" w:ascii="楷体" w:hAnsi="楷体" w:eastAsia="楷体" w:cs="楷体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szCs w:val="28"/>
        </w:rPr>
        <w:t>.8 文件签章</w:t>
      </w:r>
      <w:bookmarkEnd w:id="31"/>
      <w:bookmarkEnd w:id="32"/>
      <w:bookmarkEnd w:id="33"/>
      <w:bookmarkEnd w:id="34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在“文件签章”菜单中，上传制作好的数据文件和投标文件，分别进行盖章、保存，系统会把盖章后的文件转换成PDF文件，加密保存到原文件路径下。</w:t>
      </w: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086985" cy="3011805"/>
            <wp:effectExtent l="0" t="0" r="18415" b="17145"/>
            <wp:docPr id="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998720" cy="1834515"/>
            <wp:effectExtent l="0" t="0" r="11430" b="13335"/>
            <wp:docPr id="2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（1）数据文件下载后只能进行填写，不能进行修改、移动等操作。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（2）数据文件只填蓝色区域，其它白色区域为受保护信息，不可编辑。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（3）数据文件上传到系统里进行盖章时，只有两页内容。</w:t>
      </w:r>
    </w:p>
    <w:p>
      <w:pPr>
        <w:widowControl w:val="0"/>
        <w:kinsoku/>
        <w:overflowPunct w:val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楷体" w:hAnsi="楷体" w:eastAsia="楷体" w:cs="楷体"/>
          <w:szCs w:val="28"/>
        </w:rPr>
      </w:pPr>
      <w:bookmarkStart w:id="35" w:name="_Toc12442"/>
      <w:bookmarkStart w:id="36" w:name="_Toc7187"/>
      <w:bookmarkStart w:id="37" w:name="_Toc20073"/>
      <w:bookmarkStart w:id="38" w:name="_Toc23621"/>
      <w:r>
        <w:rPr>
          <w:rFonts w:hint="eastAsia" w:ascii="楷体" w:hAnsi="楷体" w:eastAsia="楷体" w:cs="楷体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szCs w:val="28"/>
        </w:rPr>
        <w:t>.9 投标</w:t>
      </w:r>
      <w:bookmarkEnd w:id="35"/>
      <w:bookmarkEnd w:id="36"/>
      <w:bookmarkEnd w:id="37"/>
      <w:bookmarkEnd w:id="38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在“我的投标”菜单，点击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“投标”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，如下图。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选择相应投标包段，点击“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eastAsia="zh-CN"/>
        </w:rPr>
        <w:t>交易服务费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”按钮，进入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支付投标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服务费界面，服务费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eastAsia="zh-CN"/>
        </w:rPr>
        <w:t>交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成功后，输入投标加密密码，再点击“上传”，依次上传数据文件和投标文件，文件上传成功后，填写界面下方投标人信息，点击“投标”，进行正式投标，当投标状态显示“已投标”，证明投标成功。</w:t>
      </w:r>
    </w:p>
    <w:p>
      <w:pPr>
        <w:widowControl w:val="0"/>
        <w:kinsoku/>
        <w:overflowPunct w:val="0"/>
        <w:jc w:val="center"/>
        <w:rPr>
          <w:rFonts w:hint="eastAsia" w:ascii="仿宋" w:hAnsi="仿宋" w:eastAsia="仿宋" w:cs="仿宋"/>
          <w:color w:val="FF0000"/>
          <w:sz w:val="28"/>
          <w:szCs w:val="28"/>
          <w:highlight w:val="yellow"/>
          <w:lang w:eastAsia="zh-CN"/>
        </w:rPr>
      </w:pPr>
      <w:r>
        <w:rPr>
          <w:rFonts w:hint="eastAsia" w:ascii="仿宋" w:hAnsi="仿宋" w:eastAsia="仿宋" w:cs="仿宋"/>
          <w:color w:val="FF0000"/>
          <w:sz w:val="28"/>
          <w:szCs w:val="28"/>
          <w:highlight w:val="yellow"/>
          <w:lang w:eastAsia="zh-CN"/>
        </w:rPr>
        <w:drawing>
          <wp:inline distT="0" distB="0" distL="114300" distR="114300">
            <wp:extent cx="5608955" cy="3771900"/>
            <wp:effectExtent l="0" t="0" r="10795" b="0"/>
            <wp:docPr id="3" name="图片 3" descr="794228307264707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42283072647076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jc w:val="both"/>
        <w:textAlignment w:val="baseline"/>
        <w:rPr>
          <w:rFonts w:ascii="仿宋" w:hAnsi="仿宋" w:eastAsia="仿宋" w:cs="仿宋"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jc w:val="both"/>
        <w:textAlignment w:val="baseline"/>
        <w:rPr>
          <w:rFonts w:ascii="仿宋" w:hAnsi="仿宋" w:eastAsia="仿宋" w:cs="仿宋"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（1）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  <w:t>交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完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  <w:t>交易服务费后，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才能上传文件进行正式投标。</w:t>
      </w:r>
    </w:p>
    <w:p>
      <w:pPr>
        <w:widowControl w:val="0"/>
        <w:kinsoku/>
        <w:overflowPunct w:val="0"/>
        <w:jc w:val="both"/>
        <w:rPr>
          <w:rFonts w:ascii="仿宋" w:hAnsi="仿宋" w:eastAsia="仿宋" w:cs="仿宋"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br w:type="page"/>
      </w:r>
      <w:bookmarkStart w:id="47" w:name="_GoBack"/>
      <w:bookmarkEnd w:id="47"/>
    </w:p>
    <w:p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楷体" w:hAnsi="楷体" w:eastAsia="楷体" w:cs="楷体"/>
          <w:szCs w:val="28"/>
        </w:rPr>
      </w:pPr>
      <w:bookmarkStart w:id="39" w:name="_Toc6071"/>
      <w:bookmarkStart w:id="40" w:name="_Toc5796"/>
      <w:bookmarkStart w:id="41" w:name="_Toc31653"/>
      <w:bookmarkStart w:id="42" w:name="_Toc28973"/>
      <w:r>
        <w:rPr>
          <w:rFonts w:hint="eastAsia" w:ascii="楷体" w:hAnsi="楷体" w:eastAsia="楷体" w:cs="楷体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szCs w:val="28"/>
        </w:rPr>
        <w:t>.10 开标</w:t>
      </w:r>
      <w:bookmarkEnd w:id="39"/>
      <w:bookmarkEnd w:id="40"/>
      <w:bookmarkEnd w:id="41"/>
      <w:bookmarkEnd w:id="42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点击“进入开标厅”，进入网上开标厅页面，如下图。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当启动开标后，点击</w:t>
      </w:r>
      <w:r>
        <w:rPr>
          <w:rFonts w:hint="eastAsia" w:ascii="仿宋" w:hAnsi="仿宋" w:eastAsia="仿宋" w:cs="仿宋"/>
          <w:b/>
          <w:sz w:val="28"/>
          <w:szCs w:val="28"/>
        </w:rPr>
        <w:t>“点此解密”</w:t>
      </w:r>
      <w:r>
        <w:rPr>
          <w:rFonts w:hint="eastAsia" w:ascii="仿宋" w:hAnsi="仿宋" w:eastAsia="仿宋" w:cs="仿宋"/>
          <w:sz w:val="28"/>
          <w:szCs w:val="28"/>
        </w:rPr>
        <w:t>，输入密码进行解密，解密完成后，进行唱标签字确认环节，用CA锁签字保存提交后，开标到此结束。</w:t>
      </w: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725795" cy="3162300"/>
            <wp:effectExtent l="0" t="0" r="8255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overflowPunct w:val="0"/>
        <w:jc w:val="both"/>
        <w:rPr>
          <w:rFonts w:ascii="仿宋" w:hAnsi="仿宋" w:eastAsia="仿宋" w:cs="仿宋"/>
          <w:sz w:val="28"/>
          <w:szCs w:val="28"/>
        </w:rPr>
      </w:pPr>
    </w:p>
    <w:p>
      <w:pPr>
        <w:widowControl w:val="0"/>
        <w:kinsoku/>
        <w:overflowPunct w:val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2" w:firstLineChars="200"/>
        <w:textAlignment w:val="baseline"/>
        <w:rPr>
          <w:rFonts w:ascii="楷体" w:hAnsi="楷体" w:eastAsia="楷体" w:cs="楷体"/>
          <w:szCs w:val="28"/>
        </w:rPr>
      </w:pPr>
      <w:bookmarkStart w:id="43" w:name="_Toc31727"/>
      <w:bookmarkStart w:id="44" w:name="_Toc2619"/>
      <w:bookmarkStart w:id="45" w:name="_Toc25554"/>
      <w:bookmarkStart w:id="46" w:name="_Toc27197"/>
      <w:r>
        <w:rPr>
          <w:rFonts w:hint="eastAsia" w:ascii="楷体" w:hAnsi="楷体" w:eastAsia="楷体" w:cs="楷体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szCs w:val="28"/>
        </w:rPr>
        <w:t>.11 二轮报价</w:t>
      </w:r>
      <w:bookmarkEnd w:id="43"/>
      <w:bookmarkEnd w:id="44"/>
      <w:bookmarkEnd w:id="45"/>
      <w:bookmarkEnd w:id="46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jc w:val="both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项目如需二轮报价，进入“网上评标”页面，点击</w:t>
      </w:r>
      <w:r>
        <w:rPr>
          <w:rFonts w:hint="eastAsia" w:ascii="仿宋" w:hAnsi="仿宋" w:eastAsia="仿宋" w:cs="仿宋"/>
          <w:b/>
          <w:sz w:val="28"/>
          <w:szCs w:val="28"/>
        </w:rPr>
        <w:t>“应答室”</w:t>
      </w:r>
      <w:r>
        <w:rPr>
          <w:rFonts w:hint="eastAsia" w:ascii="仿宋" w:hAnsi="仿宋" w:eastAsia="仿宋" w:cs="仿宋"/>
          <w:sz w:val="28"/>
          <w:szCs w:val="28"/>
        </w:rPr>
        <w:t>按钮，如下图：</w:t>
      </w: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494020" cy="1655445"/>
            <wp:effectExtent l="0" t="0" r="11430" b="1905"/>
            <wp:docPr id="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jc w:val="both"/>
        <w:textAlignment w:val="baseline"/>
        <w:rPr>
          <w:rFonts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jc w:val="both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当评标组长启动二轮报价后，点击</w:t>
      </w:r>
      <w:r>
        <w:rPr>
          <w:rFonts w:hint="eastAsia" w:ascii="仿宋" w:hAnsi="仿宋" w:eastAsia="仿宋" w:cs="仿宋"/>
          <w:b/>
          <w:sz w:val="28"/>
          <w:szCs w:val="28"/>
        </w:rPr>
        <w:t>“报价”</w:t>
      </w:r>
      <w:r>
        <w:rPr>
          <w:rFonts w:hint="eastAsia" w:ascii="仿宋" w:hAnsi="仿宋" w:eastAsia="仿宋" w:cs="仿宋"/>
          <w:sz w:val="28"/>
          <w:szCs w:val="28"/>
        </w:rPr>
        <w:t>按钮，弹出报价页面，如下图：</w:t>
      </w:r>
    </w:p>
    <w:p>
      <w:pPr>
        <w:widowControl w:val="0"/>
        <w:kinsoku/>
        <w:overflowPunct w:val="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731510" cy="2465705"/>
            <wp:effectExtent l="0" t="0" r="2540" b="1079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kinsoku/>
        <w:overflowPunct w:val="0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jc w:val="both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按照页面步骤操作，信息确认无误后，点击</w:t>
      </w:r>
      <w:r>
        <w:rPr>
          <w:rFonts w:hint="eastAsia" w:ascii="仿宋" w:hAnsi="仿宋" w:eastAsia="仿宋" w:cs="仿宋"/>
          <w:b/>
          <w:sz w:val="28"/>
          <w:szCs w:val="28"/>
        </w:rPr>
        <w:t>“报价签章”</w:t>
      </w:r>
      <w:r>
        <w:rPr>
          <w:rFonts w:hint="eastAsia" w:ascii="仿宋" w:hAnsi="仿宋" w:eastAsia="仿宋" w:cs="仿宋"/>
          <w:sz w:val="28"/>
          <w:szCs w:val="28"/>
        </w:rPr>
        <w:t>，在生成的二次报价文件中盖章，最后点击</w:t>
      </w:r>
      <w:r>
        <w:rPr>
          <w:rFonts w:hint="eastAsia" w:ascii="仿宋" w:hAnsi="仿宋" w:eastAsia="仿宋" w:cs="仿宋"/>
          <w:b/>
          <w:sz w:val="28"/>
          <w:szCs w:val="28"/>
        </w:rPr>
        <w:t>“提交”</w:t>
      </w:r>
      <w:r>
        <w:rPr>
          <w:rFonts w:hint="eastAsia" w:ascii="仿宋" w:hAnsi="仿宋" w:eastAsia="仿宋" w:cs="仿宋"/>
          <w:sz w:val="28"/>
          <w:szCs w:val="28"/>
        </w:rPr>
        <w:t>按钮，当显示已报价二轮报价操作成功。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480" w:lineRule="exact"/>
        <w:ind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</w:p>
    <w:p/>
    <w:sectPr>
      <w:pgSz w:w="11906" w:h="16838"/>
      <w:pgMar w:top="1984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hZDVkNzU5MWZkZjU3NTJjZTI4ODAzMGNhOGIwNzgifQ=="/>
  </w:docVars>
  <w:rsids>
    <w:rsidRoot w:val="677E0B32"/>
    <w:rsid w:val="26A347F9"/>
    <w:rsid w:val="3D8A1080"/>
    <w:rsid w:val="677E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qFormat/>
    <w:uiPriority w:val="99"/>
    <w:pPr>
      <w:spacing w:after="120"/>
    </w:pPr>
    <w:rPr>
      <w:rFonts w:ascii="Times New Roman" w:hAnsi="Times New Roman" w:cs="Times New Roman"/>
      <w:szCs w:val="24"/>
    </w:rPr>
  </w:style>
  <w:style w:type="character" w:styleId="7">
    <w:name w:val="Hyperlink"/>
    <w:basedOn w:val="6"/>
    <w:uiPriority w:val="0"/>
    <w:rPr>
      <w:color w:val="0000FF"/>
      <w:u w:val="single"/>
    </w:rPr>
  </w:style>
  <w:style w:type="paragraph" w:styleId="8">
    <w:name w:val="List Paragraph"/>
    <w:basedOn w:val="1"/>
    <w:next w:val="4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Office_11.8.6.11719_F1E327BC-269C-435d-A152-05C5408002CA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2023-07-31T01:31:00Z</dcterms:created>
  <dc:creator>莫可</dc:creator>
  <cp:lastModifiedBy>Administrator</cp:lastModifiedBy>
  <dcterms:modified xsi:type="dcterms:W3CDTF">2023-11-17T08:55:38Z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2052-11.8.6.11719</vt:lpwstr>
  </property>
  <property fmtid="{D5CDD505-2E9C-101B-9397-08002B2CF9AE}" pid="3" name="ICV">
    <vt:lpwstr>E8BED3E78E814909B6FD8D8CD703D4A6</vt:lpwstr>
  </property>
</Properties>
</file>