
<file path=[Content_Types].xml><?xml version="1.0" encoding="utf-8"?>
<Types xmlns="http://schemas.openxmlformats.org/package/2006/content-types">
  <Default Extension="png" ContentType="image/png"/>
  <Default Extension="jpeg" ContentType="image/jpeg"/>
  <Default Extension="JPG" ContentType="image/.jpg"/>
  <Default Extension="emf" ContentType="image/x-e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numPr>
          <w:ilvl w:val="0"/>
          <w:numId w:val="0"/>
        </w:numPr>
        <w:bidi w:val="0"/>
        <w:jc w:val="center"/>
        <w:rPr>
          <w:rFonts w:hint="eastAsia" w:ascii="宋体" w:hAnsi="宋体" w:eastAsia="宋体" w:cs="宋体"/>
          <w:color w:val="auto"/>
          <w:sz w:val="30"/>
          <w:szCs w:val="30"/>
          <w:lang w:val="en-US" w:eastAsia="zh-CN"/>
        </w:rPr>
      </w:pPr>
      <w:r>
        <w:rPr>
          <w:rFonts w:hint="eastAsia" w:ascii="宋体" w:hAnsi="宋体" w:eastAsia="宋体" w:cs="宋体"/>
          <w:color w:val="auto"/>
          <w:sz w:val="30"/>
          <w:szCs w:val="30"/>
          <w:lang w:val="en-US" w:eastAsia="zh-CN"/>
        </w:rPr>
        <w:t>项目说明和采购需求</w:t>
      </w:r>
    </w:p>
    <w:p>
      <w:pPr>
        <w:numPr>
          <w:ilvl w:val="0"/>
          <w:numId w:val="0"/>
        </w:numPr>
        <w:spacing w:line="560" w:lineRule="exact"/>
        <w:jc w:val="left"/>
        <w:rPr>
          <w:rFonts w:hint="eastAsia" w:ascii="宋体" w:hAnsi="宋体" w:eastAsia="宋体" w:cs="宋体"/>
          <w:b w:val="0"/>
          <w:bCs w:val="0"/>
          <w:color w:val="auto"/>
          <w:sz w:val="24"/>
          <w:highlight w:val="none"/>
          <w:lang w:val="en-US" w:eastAsia="zh-CN"/>
        </w:rPr>
      </w:pPr>
      <w:r>
        <w:rPr>
          <w:rFonts w:hint="eastAsia" w:ascii="宋体" w:hAnsi="宋体" w:eastAsia="宋体" w:cs="宋体"/>
          <w:b w:val="0"/>
          <w:bCs w:val="0"/>
          <w:color w:val="auto"/>
          <w:sz w:val="24"/>
          <w:highlight w:val="none"/>
          <w:lang w:val="en-US" w:eastAsia="zh-CN"/>
        </w:rPr>
        <w:t>1.项目名称：宁夏回族自治区兴庆监狱监管区AB门安防设施及信息化项目</w:t>
      </w:r>
    </w:p>
    <w:p>
      <w:pPr>
        <w:numPr>
          <w:ilvl w:val="0"/>
          <w:numId w:val="0"/>
        </w:numPr>
        <w:spacing w:line="560" w:lineRule="exact"/>
        <w:jc w:val="left"/>
        <w:rPr>
          <w:rFonts w:hint="eastAsia" w:ascii="宋体" w:hAnsi="宋体" w:eastAsia="宋体" w:cs="宋体"/>
          <w:b w:val="0"/>
          <w:bCs w:val="0"/>
          <w:color w:val="auto"/>
          <w:sz w:val="24"/>
          <w:highlight w:val="none"/>
          <w:lang w:val="en-US" w:eastAsia="zh-CN"/>
        </w:rPr>
      </w:pPr>
      <w:r>
        <w:rPr>
          <w:rFonts w:hint="eastAsia" w:ascii="宋体" w:hAnsi="宋体" w:eastAsia="宋体" w:cs="宋体"/>
          <w:b w:val="0"/>
          <w:bCs w:val="0"/>
          <w:color w:val="auto"/>
          <w:sz w:val="24"/>
          <w:highlight w:val="none"/>
          <w:lang w:val="en-US" w:eastAsia="zh-CN"/>
        </w:rPr>
        <w:t>2.履行时间：30个日历天</w:t>
      </w:r>
    </w:p>
    <w:p>
      <w:pPr>
        <w:numPr>
          <w:ilvl w:val="0"/>
          <w:numId w:val="0"/>
        </w:numPr>
        <w:spacing w:line="560" w:lineRule="exact"/>
        <w:jc w:val="left"/>
        <w:rPr>
          <w:rFonts w:hint="eastAsia" w:ascii="宋体" w:hAnsi="宋体" w:cs="宋体"/>
          <w:b w:val="0"/>
          <w:bCs w:val="0"/>
          <w:color w:val="auto"/>
          <w:sz w:val="24"/>
          <w:highlight w:val="none"/>
          <w:lang w:val="en-US" w:eastAsia="zh-CN"/>
        </w:rPr>
      </w:pPr>
      <w:r>
        <w:rPr>
          <w:rFonts w:hint="eastAsia" w:ascii="宋体" w:hAnsi="宋体" w:eastAsia="宋体" w:cs="宋体"/>
          <w:b w:val="0"/>
          <w:bCs w:val="0"/>
          <w:color w:val="auto"/>
          <w:sz w:val="24"/>
          <w:highlight w:val="none"/>
          <w:lang w:val="en-US" w:eastAsia="zh-CN"/>
        </w:rPr>
        <w:t>3.项目内容</w:t>
      </w:r>
      <w:r>
        <w:rPr>
          <w:rFonts w:hint="eastAsia" w:ascii="宋体" w:hAnsi="宋体" w:cs="宋体"/>
          <w:b w:val="0"/>
          <w:bCs w:val="0"/>
          <w:color w:val="auto"/>
          <w:sz w:val="24"/>
          <w:highlight w:val="none"/>
          <w:lang w:val="en-US" w:eastAsia="zh-CN"/>
        </w:rPr>
        <w:t>及技术要求</w:t>
      </w:r>
      <w:bookmarkStart w:id="0" w:name="_Toc70419874"/>
    </w:p>
    <w:p>
      <w:pPr>
        <w:numPr>
          <w:ilvl w:val="0"/>
          <w:numId w:val="0"/>
        </w:numPr>
        <w:spacing w:line="560" w:lineRule="exact"/>
        <w:jc w:val="left"/>
        <w:rPr>
          <w:rFonts w:hint="eastAsia" w:ascii="宋体" w:hAnsi="宋体" w:eastAsia="宋体" w:cs="宋体"/>
          <w:b/>
          <w:bCs w:val="0"/>
          <w:color w:val="auto"/>
          <w:sz w:val="24"/>
          <w:szCs w:val="24"/>
          <w:highlight w:val="none"/>
        </w:rPr>
      </w:pPr>
      <w:r>
        <w:rPr>
          <w:rFonts w:hint="eastAsia" w:ascii="宋体" w:hAnsi="宋体" w:eastAsia="宋体" w:cs="宋体"/>
          <w:b/>
          <w:bCs w:val="0"/>
          <w:color w:val="auto"/>
          <w:kern w:val="44"/>
          <w:sz w:val="24"/>
          <w:szCs w:val="24"/>
          <w:highlight w:val="none"/>
          <w:lang w:val="en-US" w:eastAsia="zh-CN" w:bidi="ar-SA"/>
        </w:rPr>
        <w:t>一、</w:t>
      </w:r>
      <w:r>
        <w:rPr>
          <w:rFonts w:hint="eastAsia" w:ascii="宋体" w:hAnsi="宋体" w:eastAsia="宋体" w:cs="宋体"/>
          <w:b/>
          <w:bCs w:val="0"/>
          <w:color w:val="auto"/>
          <w:sz w:val="24"/>
          <w:szCs w:val="24"/>
          <w:highlight w:val="none"/>
        </w:rPr>
        <w:t>建设目标</w:t>
      </w:r>
    </w:p>
    <w:p>
      <w:pPr>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宁夏回族自治区兴庆监狱建有视频监控管理系统，但在监狱场所车辆进出口管理上安全设备不足，目前主要还是依托于人工检查，人员混迹车辆进出的风险巨大，场所进出安全防护一直是监狱场所安全管理的重要一环。根据监狱安全防范标准，兴庆监狱对AB门车行通道实现智能化管控。</w:t>
      </w:r>
    </w:p>
    <w:p>
      <w:pPr>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在AB门车行通道B门出口处采购建设一套车底检测系统，实现对车底进行图像采集、显示、拼接、抓拍汇总、比对报警、自动环控为一体的车辆安检系统；根据安全防范标准，本次规划采购一套生命探测仪，改变人防方法效率低、检查不准确的现状，该设备可以利用微小震动传感信号对车厢内藏人员进行探测，防止内部戒员藏匿车内混出戒管区，由传统的人防向技防转变，提升工作效率，增加安全保障；在监管区B门外侧建设缓冲区大门（C门），实现车辆进出有效防控,提升监狱安全治理效能。</w:t>
      </w:r>
    </w:p>
    <w:bookmarkEnd w:id="0"/>
    <w:p>
      <w:pPr>
        <w:pStyle w:val="2"/>
        <w:numPr>
          <w:ilvl w:val="0"/>
          <w:numId w:val="0"/>
        </w:numPr>
        <w:tabs>
          <w:tab w:val="left" w:pos="993"/>
        </w:tabs>
        <w:spacing w:before="156" w:after="156" w:line="360" w:lineRule="auto"/>
        <w:ind w:left="0" w:leftChars="0" w:firstLine="0" w:firstLineChars="0"/>
        <w:rPr>
          <w:rFonts w:hint="eastAsia" w:ascii="宋体" w:hAnsi="宋体" w:eastAsia="宋体" w:cs="宋体"/>
          <w:bCs w:val="0"/>
          <w:color w:val="auto"/>
          <w:sz w:val="24"/>
          <w:szCs w:val="24"/>
          <w:highlight w:val="none"/>
        </w:rPr>
      </w:pPr>
      <w:bookmarkStart w:id="1" w:name="_Toc32739"/>
      <w:r>
        <w:rPr>
          <w:rFonts w:hint="eastAsia" w:ascii="宋体" w:hAnsi="宋体" w:eastAsia="宋体" w:cs="宋体"/>
          <w:b/>
          <w:bCs w:val="0"/>
          <w:color w:val="auto"/>
          <w:kern w:val="44"/>
          <w:sz w:val="24"/>
          <w:szCs w:val="24"/>
          <w:highlight w:val="none"/>
          <w:lang w:val="en-US" w:eastAsia="zh-CN" w:bidi="ar-SA"/>
        </w:rPr>
        <w:t>二、</w:t>
      </w:r>
      <w:r>
        <w:rPr>
          <w:rFonts w:hint="eastAsia" w:ascii="宋体" w:hAnsi="宋体" w:eastAsia="宋体" w:cs="宋体"/>
          <w:bCs w:val="0"/>
          <w:color w:val="auto"/>
          <w:sz w:val="24"/>
          <w:szCs w:val="24"/>
          <w:highlight w:val="none"/>
        </w:rPr>
        <w:t>产品概述</w:t>
      </w:r>
      <w:bookmarkEnd w:id="1"/>
    </w:p>
    <w:p>
      <w:pPr>
        <w:spacing w:before="156" w:beforeLines="50" w:after="156" w:afterLines="50" w:line="360" w:lineRule="auto"/>
        <w:ind w:left="420" w:leftChars="200"/>
        <w:outlineLvl w:val="1"/>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2.1、车底检测系统</w:t>
      </w:r>
    </w:p>
    <w:p>
      <w:pPr>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该系统在车辆经过出入口时，通过车底盘线阵扫描成像系统对当前车辆进行底盘图像信息采集；在车辆通过后，将车底盘图片传输到主控台，并在系统软件管理平台界面进行显示，方便检查人员进行底盘异物识别。同时通过视频分析自动提取车辆车牌信息，然后将车辆车牌信息和车辆车底盘图片进行自动匹配并存档。能够有效防止车底盘藏匿炸弹、武器、生化危险品、危险人物出入重要场所；防止车底盘携带毒品、非法走私品乃至非法移民通过检查站。</w:t>
      </w:r>
    </w:p>
    <w:p>
      <w:pPr>
        <w:pStyle w:val="3"/>
        <w:numPr>
          <w:ilvl w:val="2"/>
          <w:numId w:val="0"/>
        </w:numPr>
        <w:tabs>
          <w:tab w:val="left" w:pos="1560"/>
        </w:tabs>
        <w:spacing w:before="0" w:beforeLines="0" w:after="0" w:afterLines="0" w:line="360" w:lineRule="auto"/>
        <w:ind w:left="420" w:leftChars="200"/>
        <w:rPr>
          <w:rFonts w:hint="eastAsia" w:ascii="宋体" w:hAnsi="宋体" w:eastAsia="宋体" w:cs="宋体"/>
          <w:bCs w:val="0"/>
          <w:color w:val="auto"/>
          <w:sz w:val="24"/>
          <w:szCs w:val="24"/>
          <w:highlight w:val="none"/>
        </w:rPr>
      </w:pPr>
      <w:bookmarkStart w:id="2" w:name="_Toc32010"/>
      <w:r>
        <w:rPr>
          <w:rFonts w:hint="eastAsia" w:ascii="宋体" w:hAnsi="宋体" w:eastAsia="宋体" w:cs="宋体"/>
          <w:bCs w:val="0"/>
          <w:color w:val="auto"/>
          <w:sz w:val="24"/>
          <w:szCs w:val="24"/>
          <w:highlight w:val="none"/>
        </w:rPr>
        <w:t>2.1.1.结构及功能原理</w:t>
      </w:r>
      <w:bookmarkEnd w:id="2"/>
    </w:p>
    <w:p>
      <w:pPr>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车底检测系统由前端设备和后端平台两部分组成，前端设备进行数据采集和设备硬件控制，后端平台管理软件进行数据管理和应用。其工作原理如下：</w:t>
      </w:r>
    </w:p>
    <w:p>
      <w:pPr>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来车时由第一道地感线圈自动感应到来车触发信号，并将来车信号传输给控制器；由控制器给车检器和出入口相机同时下发功能触发信号，控制车检器开启补光灯，线阵相机开始图像采集，同时出入口相机抓拍识别车辆车牌信息，并将车辆车牌信息上传到软件平台；车辆通过第二道地感线圈后，由地感线圈自动感应到车辆离开，并将对应信号传输给控制器；然后由控制器给车检器下发工作停止信号，控制车检器将补光灯关闭，线阵相机停止图像采集，并将车辆通行过程中采集到的图像信息合成一副完整的过车车底图片，上传到软件平台；最后由软件平台进行数据存档和管理。</w:t>
      </w:r>
      <w:r>
        <w:rPr>
          <w:rFonts w:hint="eastAsia" w:ascii="宋体" w:hAnsi="宋体" w:eastAsia="宋体" w:cs="宋体"/>
          <w:color w:val="auto"/>
          <w:sz w:val="24"/>
          <w:szCs w:val="24"/>
          <w:highlight w:val="none"/>
        </w:rPr>
        <w:drawing>
          <wp:inline distT="0" distB="0" distL="114300" distR="114300">
            <wp:extent cx="5315585" cy="3039110"/>
            <wp:effectExtent l="0" t="0" r="18415" b="8890"/>
            <wp:docPr id="1" name="图片 1" descr="D:/360MoveData/Users/DELL/Desktop/图片1111.png图片1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360MoveData/Users/DELL/Desktop/图片1111.png图片1111"/>
                    <pic:cNvPicPr>
                      <a:picLocks noChangeAspect="1"/>
                    </pic:cNvPicPr>
                  </pic:nvPicPr>
                  <pic:blipFill>
                    <a:blip r:embed="rId4"/>
                    <a:srcRect t="5" b="5"/>
                    <a:stretch>
                      <a:fillRect/>
                    </a:stretch>
                  </pic:blipFill>
                  <pic:spPr>
                    <a:xfrm>
                      <a:off x="0" y="0"/>
                      <a:ext cx="5315585" cy="3039110"/>
                    </a:xfrm>
                    <a:prstGeom prst="rect">
                      <a:avLst/>
                    </a:prstGeom>
                    <a:noFill/>
                    <a:ln>
                      <a:noFill/>
                    </a:ln>
                  </pic:spPr>
                </pic:pic>
              </a:graphicData>
            </a:graphic>
          </wp:inline>
        </w:drawing>
      </w:r>
    </w:p>
    <w:p>
      <w:pPr>
        <w:spacing w:line="360" w:lineRule="auto"/>
        <w:ind w:firstLine="480" w:firstLineChars="200"/>
        <w:jc w:val="center"/>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▲车底检测系统组成拓扑图</w:t>
      </w:r>
    </w:p>
    <w:p>
      <w:pPr>
        <w:pStyle w:val="3"/>
        <w:numPr>
          <w:ilvl w:val="2"/>
          <w:numId w:val="0"/>
        </w:numPr>
        <w:tabs>
          <w:tab w:val="left" w:pos="1560"/>
        </w:tabs>
        <w:spacing w:before="0" w:beforeLines="0" w:after="0" w:afterLines="0" w:line="360" w:lineRule="auto"/>
        <w:ind w:left="420" w:leftChars="200"/>
        <w:rPr>
          <w:rFonts w:hint="eastAsia" w:ascii="宋体" w:hAnsi="宋体" w:eastAsia="宋体" w:cs="宋体"/>
          <w:bCs w:val="0"/>
          <w:color w:val="auto"/>
          <w:sz w:val="24"/>
          <w:szCs w:val="24"/>
          <w:highlight w:val="none"/>
        </w:rPr>
      </w:pPr>
      <w:bookmarkStart w:id="3" w:name="_Toc2997"/>
      <w:r>
        <w:rPr>
          <w:rFonts w:hint="eastAsia" w:ascii="宋体" w:hAnsi="宋体" w:eastAsia="宋体" w:cs="宋体"/>
          <w:bCs w:val="0"/>
          <w:color w:val="auto"/>
          <w:sz w:val="24"/>
          <w:szCs w:val="24"/>
          <w:highlight w:val="none"/>
        </w:rPr>
        <w:t>2.1.2.系统各组件功能介绍</w:t>
      </w:r>
      <w:bookmarkEnd w:id="3"/>
    </w:p>
    <w:p>
      <w:pPr>
        <w:pStyle w:val="8"/>
        <w:numPr>
          <w:ilvl w:val="0"/>
          <w:numId w:val="1"/>
        </w:numPr>
        <w:spacing w:line="360" w:lineRule="auto"/>
        <w:ind w:left="-12" w:firstLine="56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触发模块（线圈）：在车辆经过线圈时，给控制器发送对应触发信号。</w:t>
      </w:r>
    </w:p>
    <w:p>
      <w:pPr>
        <w:pStyle w:val="8"/>
        <w:numPr>
          <w:ilvl w:val="0"/>
          <w:numId w:val="1"/>
        </w:numPr>
        <w:spacing w:line="360" w:lineRule="auto"/>
        <w:ind w:left="-12" w:firstLine="56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车检器：由线阵相机模组、LED补光灯组件和保护罩三部件组成。负责在车辆经过时采集车底盘图片，在车辆进入时开始采集，在车辆离开时停止采集，最后将采集到的图像合成一幅完整车底盘图片通过控制器交换机模块传输到主控台。</w:t>
      </w:r>
    </w:p>
    <w:p>
      <w:pPr>
        <w:pStyle w:val="8"/>
        <w:numPr>
          <w:ilvl w:val="0"/>
          <w:numId w:val="1"/>
        </w:numPr>
        <w:spacing w:line="360" w:lineRule="auto"/>
        <w:ind w:left="-12" w:firstLine="56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出入口相机：在车辆进入或离开出入口时，识别采集车辆车牌信息，并在车辆经过后将车辆车牌信息通过控制器交换机模块传输给主控台。</w:t>
      </w:r>
    </w:p>
    <w:p>
      <w:pPr>
        <w:pStyle w:val="8"/>
        <w:numPr>
          <w:ilvl w:val="0"/>
          <w:numId w:val="1"/>
        </w:numPr>
        <w:spacing w:line="360" w:lineRule="auto"/>
        <w:ind w:left="-12" w:firstLine="56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控制器：负责当车辆进入时，下发信号给出入口相机进行车辆车牌信息识别采集并将识别到的车辆车牌信息上传到主控台以及控制车检器开始采集车底盘图像；当车辆离开时，下发信号控制车检器停止采集车底盘图像，然后将采集到的图像合成一副完整的车底盘图片，通过控制器内置交换机模块上传到主控台；</w:t>
      </w:r>
    </w:p>
    <w:p>
      <w:pPr>
        <w:pStyle w:val="8"/>
        <w:numPr>
          <w:ilvl w:val="0"/>
          <w:numId w:val="1"/>
        </w:numPr>
        <w:spacing w:line="360" w:lineRule="auto"/>
        <w:ind w:left="-12" w:firstLine="56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主控台：是一台安装有软件管理平台的工业级计算机，具备显示采集到的车底盘图片、记录车辆车牌信息、车辆信息管理、车辆进出车底盘图片对比、车底盘历史图片对比等功能。</w:t>
      </w:r>
    </w:p>
    <w:p>
      <w:pPr>
        <w:pStyle w:val="3"/>
        <w:numPr>
          <w:ilvl w:val="2"/>
          <w:numId w:val="0"/>
        </w:numPr>
        <w:tabs>
          <w:tab w:val="left" w:pos="1560"/>
        </w:tabs>
        <w:spacing w:before="0" w:beforeLines="0" w:after="0" w:afterLines="0" w:line="360" w:lineRule="auto"/>
        <w:ind w:left="420" w:leftChars="200"/>
        <w:rPr>
          <w:rFonts w:hint="eastAsia" w:ascii="宋体" w:hAnsi="宋体" w:eastAsia="宋体" w:cs="宋体"/>
          <w:bCs w:val="0"/>
          <w:color w:val="auto"/>
          <w:sz w:val="24"/>
          <w:szCs w:val="24"/>
          <w:highlight w:val="none"/>
        </w:rPr>
      </w:pPr>
      <w:bookmarkStart w:id="4" w:name="_Toc20481"/>
      <w:r>
        <w:rPr>
          <w:rFonts w:hint="eastAsia" w:ascii="宋体" w:hAnsi="宋体" w:eastAsia="宋体" w:cs="宋体"/>
          <w:bCs w:val="0"/>
          <w:color w:val="auto"/>
          <w:sz w:val="24"/>
          <w:szCs w:val="24"/>
          <w:highlight w:val="none"/>
        </w:rPr>
        <w:t>2.1.3.系统特性</w:t>
      </w:r>
      <w:bookmarkEnd w:id="4"/>
    </w:p>
    <w:p>
      <w:pPr>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软件界面：</w:t>
      </w:r>
    </w:p>
    <w:p>
      <w:pPr>
        <w:spacing w:line="360" w:lineRule="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drawing>
          <wp:inline distT="0" distB="0" distL="114300" distR="114300">
            <wp:extent cx="5930265" cy="3336290"/>
            <wp:effectExtent l="0" t="0" r="13335" b="16510"/>
            <wp:docPr id="4" name="图片 2" descr="D:/360MoveData/Users/DELL/Desktop/微信截图_20240305181610.png微信截图_20240305181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D:/360MoveData/Users/DELL/Desktop/微信截图_20240305181610.png微信截图_20240305181610"/>
                    <pic:cNvPicPr>
                      <a:picLocks noChangeAspect="1"/>
                    </pic:cNvPicPr>
                  </pic:nvPicPr>
                  <pic:blipFill>
                    <a:blip r:embed="rId5"/>
                    <a:srcRect l="3607" r="3607"/>
                    <a:stretch>
                      <a:fillRect/>
                    </a:stretch>
                  </pic:blipFill>
                  <pic:spPr>
                    <a:xfrm>
                      <a:off x="0" y="0"/>
                      <a:ext cx="5930265" cy="3336290"/>
                    </a:xfrm>
                    <a:prstGeom prst="rect">
                      <a:avLst/>
                    </a:prstGeom>
                    <a:noFill/>
                    <a:ln>
                      <a:noFill/>
                    </a:ln>
                  </pic:spPr>
                </pic:pic>
              </a:graphicData>
            </a:graphic>
          </wp:inline>
        </w:drawing>
      </w:r>
    </w:p>
    <w:p>
      <w:pPr>
        <w:spacing w:line="360" w:lineRule="auto"/>
        <w:rPr>
          <w:rFonts w:hint="eastAsia" w:ascii="宋体" w:hAnsi="宋体" w:eastAsia="宋体" w:cs="宋体"/>
          <w:b/>
          <w:bCs/>
          <w:color w:val="auto"/>
          <w:kern w:val="0"/>
          <w:sz w:val="24"/>
          <w:szCs w:val="24"/>
          <w:highlight w:val="none"/>
        </w:rPr>
      </w:pPr>
      <w:r>
        <w:rPr>
          <w:rFonts w:hint="eastAsia" w:ascii="宋体" w:hAnsi="宋体" w:eastAsia="宋体" w:cs="宋体"/>
          <w:color w:val="auto"/>
          <w:kern w:val="0"/>
          <w:sz w:val="24"/>
          <w:szCs w:val="24"/>
          <w:highlight w:val="none"/>
        </w:rPr>
        <w:t>高清成像</w:t>
      </w:r>
      <w:r>
        <w:rPr>
          <w:rFonts w:hint="eastAsia" w:ascii="宋体" w:hAnsi="宋体" w:eastAsia="宋体" w:cs="宋体"/>
          <w:b/>
          <w:bCs/>
          <w:color w:val="auto"/>
          <w:kern w:val="0"/>
          <w:sz w:val="24"/>
          <w:szCs w:val="24"/>
          <w:highlight w:val="none"/>
        </w:rPr>
        <w:t>：</w:t>
      </w:r>
    </w:p>
    <w:p>
      <w:pPr>
        <w:pStyle w:val="4"/>
        <w:spacing w:line="360" w:lineRule="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drawing>
          <wp:inline distT="0" distB="0" distL="114300" distR="114300">
            <wp:extent cx="5949315" cy="2256790"/>
            <wp:effectExtent l="0" t="0" r="13335" b="10160"/>
            <wp:docPr id="6" name="图片 3" descr="cf5e66b7e120cefdd063ca233570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descr="cf5e66b7e120cefdd063ca233570360"/>
                    <pic:cNvPicPr>
                      <a:picLocks noChangeAspect="1"/>
                    </pic:cNvPicPr>
                  </pic:nvPicPr>
                  <pic:blipFill>
                    <a:blip r:embed="rId6"/>
                    <a:stretch>
                      <a:fillRect/>
                    </a:stretch>
                  </pic:blipFill>
                  <pic:spPr>
                    <a:xfrm>
                      <a:off x="0" y="0"/>
                      <a:ext cx="5949315" cy="2256790"/>
                    </a:xfrm>
                    <a:prstGeom prst="rect">
                      <a:avLst/>
                    </a:prstGeom>
                    <a:noFill/>
                    <a:ln>
                      <a:noFill/>
                    </a:ln>
                  </pic:spPr>
                </pic:pic>
              </a:graphicData>
            </a:graphic>
          </wp:inline>
        </w:drawing>
      </w:r>
    </w:p>
    <w:p>
      <w:pPr>
        <w:spacing w:line="360" w:lineRule="auto"/>
        <w:ind w:firstLine="480" w:firstLineChars="200"/>
        <w:rPr>
          <w:rFonts w:hint="eastAsia" w:ascii="宋体" w:hAnsi="宋体" w:eastAsia="宋体" w:cs="宋体"/>
          <w:color w:val="auto"/>
          <w:sz w:val="24"/>
          <w:szCs w:val="24"/>
          <w:highlight w:val="none"/>
        </w:rPr>
      </w:pPr>
    </w:p>
    <w:p>
      <w:pPr>
        <w:pStyle w:val="4"/>
        <w:spacing w:line="360" w:lineRule="auto"/>
        <w:ind w:firstLine="480" w:firstLineChars="200"/>
        <w:rPr>
          <w:rFonts w:hint="eastAsia" w:ascii="宋体" w:hAnsi="宋体" w:eastAsia="宋体" w:cs="宋体"/>
          <w:color w:val="auto"/>
          <w:sz w:val="24"/>
          <w:szCs w:val="24"/>
          <w:highlight w:val="none"/>
        </w:rPr>
      </w:pPr>
    </w:p>
    <w:p>
      <w:pPr>
        <w:spacing w:line="360" w:lineRule="auto"/>
        <w:ind w:firstLine="480" w:firstLineChars="200"/>
        <w:rPr>
          <w:rFonts w:hint="eastAsia" w:ascii="宋体" w:hAnsi="宋体" w:eastAsia="宋体" w:cs="宋体"/>
          <w:color w:val="auto"/>
          <w:sz w:val="24"/>
          <w:szCs w:val="24"/>
          <w:highlight w:val="none"/>
        </w:rPr>
      </w:pPr>
    </w:p>
    <w:p>
      <w:pPr>
        <w:spacing w:before="156" w:beforeLines="50" w:after="156" w:afterLines="50" w:line="360" w:lineRule="auto"/>
        <w:ind w:left="420" w:leftChars="200"/>
        <w:outlineLvl w:val="1"/>
        <w:rPr>
          <w:rFonts w:hint="eastAsia" w:ascii="宋体" w:hAnsi="宋体" w:eastAsia="宋体" w:cs="宋体"/>
          <w:b/>
          <w:bCs/>
          <w:color w:val="auto"/>
          <w:sz w:val="24"/>
          <w:szCs w:val="24"/>
          <w:highlight w:val="none"/>
        </w:rPr>
      </w:pPr>
      <w:bookmarkStart w:id="5" w:name="_Toc70419875"/>
      <w:r>
        <w:rPr>
          <w:rFonts w:hint="eastAsia" w:ascii="宋体" w:hAnsi="宋体" w:eastAsia="宋体" w:cs="宋体"/>
          <w:b/>
          <w:bCs/>
          <w:color w:val="auto"/>
          <w:sz w:val="24"/>
          <w:szCs w:val="24"/>
          <w:highlight w:val="none"/>
        </w:rPr>
        <w:t>2.2、生命探测仪系统</w:t>
      </w:r>
      <w:bookmarkEnd w:id="5"/>
    </w:p>
    <w:p>
      <w:pPr>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微震探测（生命探测仪）系统是一款接触式探测系统，由数据采集部份、数据分析处理主机、传输部份和终端显示部份组成。将探测器置于车上横梁及放置在地上时，就可判断出车内或货物内是否有人，无需卸货进行全车检查。该系统通过探测器感应车内人的心脏跳动传到车辆框架上所产生的微小的运动或颤动来侦测生命存在，系统以这种振动为基础进行检测分析，可判断车辆是否能够放行或者需要做进一步搜查。</w:t>
      </w:r>
    </w:p>
    <w:p>
      <w:pPr>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drawing>
          <wp:inline distT="0" distB="0" distL="114300" distR="114300">
            <wp:extent cx="4572000" cy="2651760"/>
            <wp:effectExtent l="0" t="0" r="0" b="15240"/>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pic:cNvPicPr>
                  </pic:nvPicPr>
                  <pic:blipFill>
                    <a:blip r:embed="rId7"/>
                    <a:stretch>
                      <a:fillRect/>
                    </a:stretch>
                  </pic:blipFill>
                  <pic:spPr>
                    <a:xfrm>
                      <a:off x="0" y="0"/>
                      <a:ext cx="4572000" cy="2651760"/>
                    </a:xfrm>
                    <a:prstGeom prst="rect">
                      <a:avLst/>
                    </a:prstGeom>
                    <a:noFill/>
                    <a:ln>
                      <a:noFill/>
                    </a:ln>
                  </pic:spPr>
                </pic:pic>
              </a:graphicData>
            </a:graphic>
          </wp:inline>
        </w:drawing>
      </w:r>
    </w:p>
    <w:p>
      <w:pPr>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探测方式：通过探测感应器感应被测物体传导的有节律的心跳震动进行分析；</w:t>
      </w:r>
    </w:p>
    <w:p>
      <w:pPr>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探测目标：人类（藏匿者所处位置、姿态、身体状况不对测试结果产生必然影响）；</w:t>
      </w:r>
    </w:p>
    <w:p>
      <w:pPr>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侦测车型：所有车型（客车、货车、箱式集装箱等）；</w:t>
      </w:r>
    </w:p>
    <w:p>
      <w:pPr>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探测器数量：5个(接车感应器：2个,接地感应器:3个) ；</w:t>
      </w:r>
    </w:p>
    <w:p>
      <w:pPr>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探测时间：每次完成检测时间8—60秒；</w:t>
      </w:r>
    </w:p>
    <w:p>
      <w:pPr>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报警模式：检测到人藏匿时，声音及明确的屏幕显示报警；</w:t>
      </w:r>
    </w:p>
    <w:p>
      <w:pPr>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显示终端：触摸屏工控机；</w:t>
      </w:r>
    </w:p>
    <w:p>
      <w:pPr>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软件：界面友好的软件；</w:t>
      </w:r>
    </w:p>
    <w:p>
      <w:pPr>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工作时间：可全天候24小时工作；</w:t>
      </w:r>
    </w:p>
    <w:p>
      <w:pPr>
        <w:pStyle w:val="3"/>
        <w:numPr>
          <w:ilvl w:val="2"/>
          <w:numId w:val="0"/>
        </w:numPr>
        <w:tabs>
          <w:tab w:val="left" w:pos="1276"/>
          <w:tab w:val="left" w:pos="1701"/>
        </w:tabs>
        <w:spacing w:before="156" w:after="156" w:line="360" w:lineRule="auto"/>
        <w:ind w:left="420" w:leftChars="200"/>
        <w:rPr>
          <w:rFonts w:hint="eastAsia" w:ascii="宋体" w:hAnsi="宋体" w:eastAsia="宋体" w:cs="宋体"/>
          <w:bCs w:val="0"/>
          <w:color w:val="auto"/>
          <w:sz w:val="24"/>
          <w:szCs w:val="24"/>
          <w:highlight w:val="none"/>
        </w:rPr>
      </w:pPr>
      <w:bookmarkStart w:id="6" w:name="_Toc70419883"/>
      <w:r>
        <w:rPr>
          <w:rFonts w:hint="eastAsia" w:ascii="宋体" w:hAnsi="宋体" w:eastAsia="宋体" w:cs="宋体"/>
          <w:bCs w:val="0"/>
          <w:color w:val="auto"/>
          <w:sz w:val="24"/>
          <w:szCs w:val="24"/>
          <w:highlight w:val="none"/>
        </w:rPr>
        <w:t>2.2.1.系统原理及功能：</w:t>
      </w:r>
      <w:bookmarkEnd w:id="6"/>
    </w:p>
    <w:p>
      <w:pPr>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微震动车辆安检系统是一种广泛应用于监管场所的车辆安检手段和设备，系统由工控主机、检测软件、数据处理部件、前端探测感应器、有线数据传输部件、无线传输收发装置、有线无线切换装置、工业触屏、有线数据传输部件等构成。</w:t>
      </w:r>
    </w:p>
    <w:p>
      <w:pPr>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该系统具有灵敏度高、无漏报、误报率低、环境适应性强、稳定可靠、安装灵活等特点。鉴于监管场所的车辆检测实际需求，无论是小型汽车、装满货物的货车还是大型拖车，该系统仅需将传感器置于车上时，即可迅速判断出车内或货物内是否有人，无需为了全车检查而消耗时间及昂贵的费用进行卸货。</w:t>
      </w:r>
    </w:p>
    <w:p>
      <w:pPr>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该系统利用高精度、高灵敏度的震动感应器，检测车内的人的心跳传导到车架上所产生的微小的有规律的运动或颤。探测软件运算范围精确集中在这个有规律的运动频率内。就是以这种振动分析为基础，系统可在几秒至几十秒的时间内判断车辆是否能够放行或者需要做进一步搜查。</w:t>
      </w:r>
    </w:p>
    <w:p>
      <w:pPr>
        <w:spacing w:line="360" w:lineRule="auto"/>
        <w:jc w:val="center"/>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rPr>
        <w:drawing>
          <wp:inline distT="0" distB="0" distL="114300" distR="114300">
            <wp:extent cx="4794885" cy="3633470"/>
            <wp:effectExtent l="0" t="0" r="5715" b="508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stretch>
                      <a:fillRect/>
                    </a:stretch>
                  </pic:blipFill>
                  <pic:spPr>
                    <a:xfrm>
                      <a:off x="0" y="0"/>
                      <a:ext cx="4794885" cy="3633470"/>
                    </a:xfrm>
                    <a:prstGeom prst="rect">
                      <a:avLst/>
                    </a:prstGeom>
                    <a:noFill/>
                    <a:ln>
                      <a:noFill/>
                    </a:ln>
                  </pic:spPr>
                </pic:pic>
              </a:graphicData>
            </a:graphic>
          </wp:inline>
        </w:drawing>
      </w:r>
    </w:p>
    <w:p>
      <w:pPr>
        <w:spacing w:line="360" w:lineRule="auto"/>
        <w:ind w:firstLine="480" w:firstLineChars="200"/>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工作示意图</w:t>
      </w:r>
    </w:p>
    <w:p>
      <w:pPr>
        <w:pStyle w:val="3"/>
        <w:numPr>
          <w:ilvl w:val="0"/>
          <w:numId w:val="0"/>
        </w:numPr>
        <w:tabs>
          <w:tab w:val="left" w:pos="1276"/>
          <w:tab w:val="left" w:pos="1701"/>
        </w:tabs>
        <w:spacing w:before="156" w:after="156" w:line="360" w:lineRule="auto"/>
        <w:ind w:left="420" w:leftChars="200"/>
        <w:rPr>
          <w:rFonts w:hint="eastAsia" w:ascii="宋体" w:hAnsi="宋体" w:eastAsia="宋体" w:cs="宋体"/>
          <w:bCs w:val="0"/>
          <w:color w:val="auto"/>
          <w:sz w:val="24"/>
          <w:szCs w:val="24"/>
          <w:highlight w:val="none"/>
        </w:rPr>
      </w:pPr>
      <w:r>
        <w:rPr>
          <w:rFonts w:hint="eastAsia" w:ascii="宋体" w:hAnsi="宋体" w:eastAsia="宋体" w:cs="宋体"/>
          <w:bCs w:val="0"/>
          <w:color w:val="auto"/>
          <w:sz w:val="24"/>
          <w:szCs w:val="24"/>
          <w:highlight w:val="none"/>
        </w:rPr>
        <w:t>2.2.2.系统布设方式及检测流程</w:t>
      </w:r>
    </w:p>
    <w:p>
      <w:pPr>
        <w:spacing w:line="360" w:lineRule="auto"/>
        <w:ind w:firstLine="480" w:firstLineChars="200"/>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drawing>
          <wp:inline distT="0" distB="0" distL="114300" distR="114300">
            <wp:extent cx="4972050" cy="2798445"/>
            <wp:effectExtent l="0" t="0" r="0" b="1905"/>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r:embed="rId9"/>
                    <a:stretch>
                      <a:fillRect/>
                    </a:stretch>
                  </pic:blipFill>
                  <pic:spPr>
                    <a:xfrm>
                      <a:off x="0" y="0"/>
                      <a:ext cx="4972050" cy="2798445"/>
                    </a:xfrm>
                    <a:prstGeom prst="rect">
                      <a:avLst/>
                    </a:prstGeom>
                    <a:noFill/>
                    <a:ln>
                      <a:noFill/>
                    </a:ln>
                  </pic:spPr>
                </pic:pic>
              </a:graphicData>
            </a:graphic>
          </wp:inline>
        </w:drawing>
      </w:r>
    </w:p>
    <w:p>
      <w:pPr>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系统布设最初布设，需提供220V交流电源及局域网接口。系统地面感应器布设于检测场地地面，车辆感应器于每次测试前吸附在车体上。检测流程如下：</w:t>
      </w:r>
    </w:p>
    <w:p>
      <w:pPr>
        <w:pStyle w:val="8"/>
        <w:numPr>
          <w:ilvl w:val="0"/>
          <w:numId w:val="2"/>
        </w:numPr>
        <w:spacing w:line="360" w:lineRule="auto"/>
        <w:ind w:firstLine="56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将待检车辆开到检测区。测试之前，将车辆熄火，司机下车，关掉电源，关闭车门，关掉音响，电扇等电子设备，测试过程中人不要与车接触，不要触碰感应器；</w:t>
      </w:r>
    </w:p>
    <w:p>
      <w:pPr>
        <w:pStyle w:val="8"/>
        <w:numPr>
          <w:ilvl w:val="0"/>
          <w:numId w:val="2"/>
        </w:numPr>
        <w:spacing w:line="360" w:lineRule="auto"/>
        <w:ind w:firstLine="56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正确放置地面及车辆感应器并选择对应车型；</w:t>
      </w:r>
    </w:p>
    <w:p>
      <w:pPr>
        <w:pStyle w:val="8"/>
        <w:numPr>
          <w:ilvl w:val="0"/>
          <w:numId w:val="2"/>
        </w:numPr>
        <w:spacing w:line="360" w:lineRule="auto"/>
        <w:ind w:firstLine="56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点击测试按钮进行测试。测试过程中尽量保证测试车辆周围没有其他干扰（如：周围有大型车辆通过，开关大铁门，大型施工带来的震动等。）。检测结果将在8-45秒内给出，并提示放行或搜查。</w:t>
      </w:r>
    </w:p>
    <w:p>
      <w:pPr>
        <w:spacing w:line="360" w:lineRule="auto"/>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drawing>
          <wp:inline distT="0" distB="0" distL="114300" distR="114300">
            <wp:extent cx="4904105" cy="5285105"/>
            <wp:effectExtent l="0" t="0" r="10795" b="10795"/>
            <wp:docPr id="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7"/>
                    <pic:cNvPicPr>
                      <a:picLocks noChangeAspect="1"/>
                    </pic:cNvPicPr>
                  </pic:nvPicPr>
                  <pic:blipFill>
                    <a:blip r:embed="rId10"/>
                    <a:stretch>
                      <a:fillRect/>
                    </a:stretch>
                  </pic:blipFill>
                  <pic:spPr>
                    <a:xfrm>
                      <a:off x="0" y="0"/>
                      <a:ext cx="4904105" cy="5285105"/>
                    </a:xfrm>
                    <a:prstGeom prst="rect">
                      <a:avLst/>
                    </a:prstGeom>
                    <a:noFill/>
                    <a:ln>
                      <a:noFill/>
                    </a:ln>
                  </pic:spPr>
                </pic:pic>
              </a:graphicData>
            </a:graphic>
          </wp:inline>
        </w:drawing>
      </w:r>
    </w:p>
    <w:p>
      <w:pPr>
        <w:pStyle w:val="3"/>
        <w:numPr>
          <w:ilvl w:val="0"/>
          <w:numId w:val="0"/>
        </w:numPr>
        <w:tabs>
          <w:tab w:val="left" w:pos="1276"/>
          <w:tab w:val="left" w:pos="1701"/>
        </w:tabs>
        <w:spacing w:before="156" w:after="156" w:line="360" w:lineRule="auto"/>
        <w:ind w:left="420" w:leftChars="200"/>
        <w:rPr>
          <w:rFonts w:hint="eastAsia" w:ascii="宋体" w:hAnsi="宋体" w:eastAsia="宋体" w:cs="宋体"/>
          <w:bCs w:val="0"/>
          <w:color w:val="auto"/>
          <w:sz w:val="24"/>
          <w:szCs w:val="24"/>
          <w:highlight w:val="none"/>
        </w:rPr>
      </w:pPr>
      <w:r>
        <w:rPr>
          <w:rFonts w:hint="eastAsia" w:ascii="宋体" w:hAnsi="宋体" w:eastAsia="宋体" w:cs="宋体"/>
          <w:bCs w:val="0"/>
          <w:color w:val="auto"/>
          <w:sz w:val="24"/>
          <w:szCs w:val="24"/>
          <w:highlight w:val="none"/>
        </w:rPr>
        <w:t>2.2.3.系统性能及特点</w:t>
      </w:r>
    </w:p>
    <w:p>
      <w:pPr>
        <w:spacing w:line="360" w:lineRule="auto"/>
        <w:ind w:firstLine="482" w:firstLineChars="200"/>
        <w:rPr>
          <w:rFonts w:hint="eastAsia" w:ascii="宋体" w:hAnsi="宋体" w:eastAsia="宋体" w:cs="宋体"/>
          <w:color w:val="auto"/>
          <w:kern w:val="0"/>
          <w:sz w:val="24"/>
          <w:szCs w:val="24"/>
          <w:highlight w:val="none"/>
        </w:rPr>
      </w:pPr>
      <w:r>
        <w:rPr>
          <w:rFonts w:hint="eastAsia" w:ascii="宋体" w:hAnsi="宋体" w:eastAsia="宋体" w:cs="宋体"/>
          <w:b/>
          <w:bCs/>
          <w:color w:val="auto"/>
          <w:kern w:val="0"/>
          <w:sz w:val="24"/>
          <w:szCs w:val="24"/>
          <w:highlight w:val="none"/>
        </w:rPr>
        <w:t>1）测试准确率高</w:t>
      </w:r>
    </w:p>
    <w:p>
      <w:pPr>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按照正确使用方法，可以保证极高的测试准确率，低误报率。支持所有车辆的无差别测试，无测试盲区。</w:t>
      </w:r>
    </w:p>
    <w:p>
      <w:pPr>
        <w:spacing w:line="360" w:lineRule="auto"/>
        <w:ind w:firstLine="482" w:firstLineChars="200"/>
        <w:rPr>
          <w:rFonts w:hint="eastAsia" w:ascii="宋体" w:hAnsi="宋体" w:eastAsia="宋体" w:cs="宋体"/>
          <w:color w:val="auto"/>
          <w:kern w:val="0"/>
          <w:sz w:val="24"/>
          <w:szCs w:val="24"/>
          <w:highlight w:val="none"/>
        </w:rPr>
      </w:pPr>
      <w:r>
        <w:rPr>
          <w:rFonts w:hint="eastAsia" w:ascii="宋体" w:hAnsi="宋体" w:eastAsia="宋体" w:cs="宋体"/>
          <w:b/>
          <w:bCs/>
          <w:color w:val="auto"/>
          <w:kern w:val="0"/>
          <w:sz w:val="24"/>
          <w:szCs w:val="24"/>
          <w:highlight w:val="none"/>
        </w:rPr>
        <w:t>2）测试效率高</w:t>
      </w:r>
    </w:p>
    <w:p>
      <w:pPr>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每次测试过程可在6-45秒内完成，大大提高监管场所进出车辆安检时间，有效提高车辆通行效率，降低干警工作强度</w:t>
      </w:r>
    </w:p>
    <w:p>
      <w:pPr>
        <w:spacing w:line="360" w:lineRule="auto"/>
        <w:ind w:firstLine="482" w:firstLineChars="200"/>
        <w:rPr>
          <w:rFonts w:hint="eastAsia" w:ascii="宋体" w:hAnsi="宋体" w:eastAsia="宋体" w:cs="宋体"/>
          <w:color w:val="auto"/>
          <w:kern w:val="0"/>
          <w:sz w:val="24"/>
          <w:szCs w:val="24"/>
          <w:highlight w:val="none"/>
        </w:rPr>
      </w:pPr>
      <w:r>
        <w:rPr>
          <w:rFonts w:hint="eastAsia" w:ascii="宋体" w:hAnsi="宋体" w:eastAsia="宋体" w:cs="宋体"/>
          <w:b/>
          <w:bCs/>
          <w:color w:val="auto"/>
          <w:kern w:val="0"/>
          <w:sz w:val="24"/>
          <w:szCs w:val="24"/>
          <w:highlight w:val="none"/>
        </w:rPr>
        <w:t>3）环境适用性强</w:t>
      </w:r>
    </w:p>
    <w:p>
      <w:pPr>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相较于其他同类设备，算法更优化，可以在极端复杂的使用条件下，仍保持设备测试结果的可靠性</w:t>
      </w:r>
    </w:p>
    <w:p>
      <w:pPr>
        <w:spacing w:line="360" w:lineRule="auto"/>
        <w:ind w:firstLine="482" w:firstLineChars="200"/>
        <w:rPr>
          <w:rFonts w:hint="eastAsia" w:ascii="宋体" w:hAnsi="宋体" w:eastAsia="宋体" w:cs="宋体"/>
          <w:color w:val="auto"/>
          <w:kern w:val="0"/>
          <w:sz w:val="24"/>
          <w:szCs w:val="24"/>
          <w:highlight w:val="none"/>
        </w:rPr>
      </w:pPr>
      <w:r>
        <w:rPr>
          <w:rFonts w:hint="eastAsia" w:ascii="宋体" w:hAnsi="宋体" w:eastAsia="宋体" w:cs="宋体"/>
          <w:b/>
          <w:bCs/>
          <w:color w:val="auto"/>
          <w:kern w:val="0"/>
          <w:sz w:val="24"/>
          <w:szCs w:val="24"/>
          <w:highlight w:val="none"/>
        </w:rPr>
        <w:t>4）系统硬件耐用性强</w:t>
      </w:r>
    </w:p>
    <w:p>
      <w:pPr>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设备主要部件均采用工业级设计和制造，符合高防水防尘高低温要求，可在极端恶劣复杂条件下使用</w:t>
      </w:r>
    </w:p>
    <w:p>
      <w:pPr>
        <w:numPr>
          <w:ilvl w:val="0"/>
          <w:numId w:val="3"/>
        </w:numPr>
        <w:autoSpaceDE w:val="0"/>
        <w:autoSpaceDN w:val="0"/>
        <w:adjustRightIn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支持平台对接，实现监控一体化</w:t>
      </w:r>
    </w:p>
    <w:p>
      <w:pPr>
        <w:numPr>
          <w:ilvl w:val="0"/>
          <w:numId w:val="3"/>
        </w:numPr>
        <w:autoSpaceDE w:val="0"/>
        <w:autoSpaceDN w:val="0"/>
        <w:adjustRightInd w:val="0"/>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可对外支持SDK开发接入第三方平台。</w:t>
      </w:r>
    </w:p>
    <w:p>
      <w:pPr>
        <w:spacing w:before="156" w:beforeLines="50" w:after="156" w:afterLines="50" w:line="360" w:lineRule="auto"/>
        <w:ind w:left="420" w:leftChars="200"/>
        <w:outlineLvl w:val="1"/>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2.3、缓冲区大门（C门）</w:t>
      </w:r>
    </w:p>
    <w:p>
      <w:pPr>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监管区缓冲区大门（C门）可有效扩大狱内警戒区域，防止狱内人员、车辆直接冲击B门，防止罪犯尾随警察进入AB门人行通道。</w:t>
      </w:r>
    </w:p>
    <w:p>
      <w:pPr>
        <w:spacing w:line="360" w:lineRule="auto"/>
        <w:ind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kern w:val="0"/>
          <w:sz w:val="24"/>
          <w:szCs w:val="24"/>
          <w:highlight w:val="none"/>
        </w:rPr>
        <w:t>缓冲区大门（C门）主要采用钢架结构，焊接Y字型立柱链，加装成品刀片网，上方架设到刀片网，焊接防攀爬倒刺网等，具体根据项目清单内缓冲区大门（C门）建设。</w:t>
      </w:r>
    </w:p>
    <w:p>
      <w:pPr>
        <w:autoSpaceDE w:val="0"/>
        <w:autoSpaceDN w:val="0"/>
        <w:adjustRightInd w:val="0"/>
        <w:spacing w:line="360" w:lineRule="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drawing>
          <wp:inline distT="0" distB="0" distL="114300" distR="114300">
            <wp:extent cx="5273040" cy="2966085"/>
            <wp:effectExtent l="0" t="0" r="3810" b="5715"/>
            <wp:docPr id="3" name="图片 8" descr="新（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8" descr="新（修）"/>
                    <pic:cNvPicPr>
                      <a:picLocks noChangeAspect="1"/>
                    </pic:cNvPicPr>
                  </pic:nvPicPr>
                  <pic:blipFill>
                    <a:blip r:embed="rId11"/>
                    <a:stretch>
                      <a:fillRect/>
                    </a:stretch>
                  </pic:blipFill>
                  <pic:spPr>
                    <a:xfrm>
                      <a:off x="0" y="0"/>
                      <a:ext cx="5273040" cy="2966085"/>
                    </a:xfrm>
                    <a:prstGeom prst="rect">
                      <a:avLst/>
                    </a:prstGeom>
                    <a:noFill/>
                    <a:ln>
                      <a:noFill/>
                    </a:ln>
                  </pic:spPr>
                </pic:pic>
              </a:graphicData>
            </a:graphic>
          </wp:inline>
        </w:drawing>
      </w:r>
    </w:p>
    <w:p>
      <w:pPr>
        <w:autoSpaceDE w:val="0"/>
        <w:autoSpaceDN w:val="0"/>
        <w:adjustRightInd w:val="0"/>
        <w:spacing w:line="360" w:lineRule="auto"/>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lang w:eastAsia="zh-CN"/>
        </w:rPr>
        <w:drawing>
          <wp:inline distT="0" distB="0" distL="114300" distR="114300">
            <wp:extent cx="5266690" cy="2962910"/>
            <wp:effectExtent l="0" t="0" r="10160" b="8890"/>
            <wp:docPr id="7" name="图片 9" descr="效果尺寸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9" descr="效果尺寸图"/>
                    <pic:cNvPicPr>
                      <a:picLocks noChangeAspect="1"/>
                    </pic:cNvPicPr>
                  </pic:nvPicPr>
                  <pic:blipFill>
                    <a:blip r:embed="rId12"/>
                    <a:stretch>
                      <a:fillRect/>
                    </a:stretch>
                  </pic:blipFill>
                  <pic:spPr>
                    <a:xfrm>
                      <a:off x="0" y="0"/>
                      <a:ext cx="5266690" cy="2962910"/>
                    </a:xfrm>
                    <a:prstGeom prst="rect">
                      <a:avLst/>
                    </a:prstGeom>
                    <a:noFill/>
                    <a:ln>
                      <a:noFill/>
                    </a:ln>
                  </pic:spPr>
                </pic:pic>
              </a:graphicData>
            </a:graphic>
          </wp:inline>
        </w:drawing>
      </w:r>
    </w:p>
    <w:p>
      <w:pPr>
        <w:autoSpaceDE w:val="0"/>
        <w:autoSpaceDN w:val="0"/>
        <w:adjustRightInd w:val="0"/>
        <w:spacing w:line="360" w:lineRule="auto"/>
        <w:jc w:val="center"/>
        <w:rPr>
          <w:rFonts w:hint="eastAsia" w:ascii="宋体" w:hAnsi="宋体" w:eastAsia="宋体" w:cs="宋体"/>
          <w:color w:val="auto"/>
          <w:sz w:val="24"/>
          <w:szCs w:val="24"/>
          <w:highlight w:val="none"/>
        </w:rPr>
      </w:pPr>
      <w:r>
        <w:rPr>
          <w:rFonts w:hint="eastAsia" w:ascii="宋体" w:hAnsi="宋体" w:eastAsia="宋体" w:cs="宋体"/>
          <w:b/>
          <w:bCs/>
          <w:color w:val="auto"/>
          <w:kern w:val="0"/>
          <w:sz w:val="24"/>
          <w:szCs w:val="24"/>
          <w:highlight w:val="none"/>
        </w:rPr>
        <w:t>缓冲区大门（C门）效果图</w:t>
      </w:r>
    </w:p>
    <w:p>
      <w:pPr>
        <w:numPr>
          <w:ilvl w:val="0"/>
          <w:numId w:val="0"/>
        </w:numPr>
        <w:autoSpaceDE w:val="0"/>
        <w:autoSpaceDN w:val="0"/>
        <w:adjustRightInd w:val="0"/>
        <w:spacing w:line="360" w:lineRule="auto"/>
        <w:ind w:left="0" w:leftChars="0" w:firstLine="0" w:firstLineChars="0"/>
        <w:rPr>
          <w:rFonts w:hint="eastAsia" w:ascii="宋体" w:hAnsi="宋体" w:eastAsia="宋体" w:cs="宋体"/>
          <w:color w:val="auto"/>
          <w:kern w:val="44"/>
          <w:sz w:val="24"/>
          <w:szCs w:val="24"/>
          <w:highlight w:val="none"/>
        </w:rPr>
      </w:pPr>
      <w:r>
        <w:rPr>
          <w:rFonts w:hint="eastAsia" w:ascii="宋体" w:hAnsi="宋体" w:eastAsia="宋体" w:cs="宋体"/>
          <w:color w:val="auto"/>
          <w:kern w:val="44"/>
          <w:sz w:val="24"/>
          <w:szCs w:val="24"/>
          <w:highlight w:val="none"/>
          <w:lang w:val="en-US" w:eastAsia="zh-CN" w:bidi="ar-SA"/>
        </w:rPr>
        <w:t>三、</w:t>
      </w:r>
      <w:r>
        <w:rPr>
          <w:rFonts w:hint="eastAsia" w:ascii="宋体" w:hAnsi="宋体" w:eastAsia="宋体" w:cs="宋体"/>
          <w:color w:val="auto"/>
          <w:kern w:val="44"/>
          <w:sz w:val="24"/>
          <w:szCs w:val="24"/>
          <w:highlight w:val="none"/>
        </w:rPr>
        <w:t>项目预算及施工工期</w:t>
      </w:r>
    </w:p>
    <w:p>
      <w:pPr>
        <w:spacing w:line="360" w:lineRule="auto"/>
        <w:ind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本项目预算100万元，工程工期30个日历天，中标人需在所要求的工期内完成全部招标工程。</w:t>
      </w:r>
    </w:p>
    <w:p>
      <w:pPr>
        <w:autoSpaceDE w:val="0"/>
        <w:autoSpaceDN w:val="0"/>
        <w:adjustRightInd w:val="0"/>
        <w:spacing w:line="360" w:lineRule="auto"/>
        <w:rPr>
          <w:rFonts w:hint="eastAsia" w:ascii="宋体" w:hAnsi="宋体" w:eastAsia="宋体" w:cs="宋体"/>
          <w:color w:val="auto"/>
          <w:kern w:val="44"/>
          <w:sz w:val="24"/>
          <w:szCs w:val="24"/>
          <w:highlight w:val="none"/>
        </w:rPr>
      </w:pPr>
      <w:r>
        <w:rPr>
          <w:rFonts w:hint="eastAsia" w:ascii="宋体" w:hAnsi="宋体" w:eastAsia="宋体" w:cs="宋体"/>
          <w:color w:val="auto"/>
          <w:kern w:val="44"/>
          <w:sz w:val="24"/>
          <w:szCs w:val="24"/>
          <w:highlight w:val="none"/>
        </w:rPr>
        <w:t>四、项目清单</w:t>
      </w:r>
    </w:p>
    <w:p>
      <w:pPr>
        <w:rPr>
          <w:rFonts w:ascii="宋体" w:hAnsi="宋体" w:cs="宋体"/>
          <w:color w:val="auto"/>
          <w:highlight w:val="none"/>
        </w:rPr>
        <w:sectPr>
          <w:pgSz w:w="11906" w:h="16838"/>
          <w:pgMar w:top="1440" w:right="1800" w:bottom="1440" w:left="1800" w:header="851" w:footer="992" w:gutter="0"/>
          <w:cols w:space="720" w:num="1"/>
          <w:docGrid w:type="lines" w:linePitch="312" w:charSpace="0"/>
        </w:sectPr>
      </w:pPr>
    </w:p>
    <w:tbl>
      <w:tblPr>
        <w:tblStyle w:val="6"/>
        <w:tblpPr w:leftFromText="180" w:rightFromText="180" w:vertAnchor="text" w:horzAnchor="page" w:tblpX="1342" w:tblpY="717"/>
        <w:tblOverlap w:val="never"/>
        <w:tblW w:w="9118" w:type="dxa"/>
        <w:tblInd w:w="0" w:type="dxa"/>
        <w:tblLayout w:type="fixed"/>
        <w:tblCellMar>
          <w:top w:w="0" w:type="dxa"/>
          <w:left w:w="108" w:type="dxa"/>
          <w:bottom w:w="0" w:type="dxa"/>
          <w:right w:w="108" w:type="dxa"/>
        </w:tblCellMar>
      </w:tblPr>
      <w:tblGrid>
        <w:gridCol w:w="599"/>
        <w:gridCol w:w="1547"/>
        <w:gridCol w:w="5389"/>
        <w:gridCol w:w="823"/>
        <w:gridCol w:w="760"/>
      </w:tblGrid>
      <w:tr>
        <w:tblPrEx>
          <w:tblCellMar>
            <w:top w:w="0" w:type="dxa"/>
            <w:left w:w="108" w:type="dxa"/>
            <w:bottom w:w="0" w:type="dxa"/>
            <w:right w:w="108" w:type="dxa"/>
          </w:tblCellMar>
        </w:tblPrEx>
        <w:trPr>
          <w:trHeight w:val="472"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b/>
                <w:bCs/>
                <w:color w:val="auto"/>
                <w:sz w:val="18"/>
                <w:szCs w:val="18"/>
                <w:highlight w:val="none"/>
              </w:rPr>
            </w:pPr>
            <w:r>
              <w:rPr>
                <w:rFonts w:hint="eastAsia" w:ascii="宋体" w:hAnsi="宋体" w:cs="宋体"/>
                <w:b/>
                <w:bCs/>
                <w:color w:val="auto"/>
                <w:kern w:val="0"/>
                <w:sz w:val="18"/>
                <w:szCs w:val="18"/>
                <w:highlight w:val="none"/>
                <w:lang w:bidi="ar"/>
              </w:rPr>
              <w:t>序号</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b/>
                <w:bCs/>
                <w:color w:val="auto"/>
                <w:sz w:val="18"/>
                <w:szCs w:val="18"/>
                <w:highlight w:val="none"/>
              </w:rPr>
            </w:pPr>
            <w:r>
              <w:rPr>
                <w:rFonts w:hint="eastAsia" w:ascii="宋体" w:hAnsi="宋体" w:cs="宋体"/>
                <w:b/>
                <w:bCs/>
                <w:color w:val="auto"/>
                <w:kern w:val="0"/>
                <w:sz w:val="18"/>
                <w:szCs w:val="18"/>
                <w:highlight w:val="none"/>
                <w:lang w:bidi="ar"/>
              </w:rPr>
              <w:t>名称</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b/>
                <w:bCs/>
                <w:color w:val="auto"/>
                <w:sz w:val="18"/>
                <w:szCs w:val="18"/>
                <w:highlight w:val="none"/>
              </w:rPr>
            </w:pPr>
            <w:r>
              <w:rPr>
                <w:rFonts w:hint="eastAsia" w:ascii="宋体" w:hAnsi="宋体" w:cs="宋体"/>
                <w:b/>
                <w:bCs/>
                <w:color w:val="auto"/>
                <w:kern w:val="0"/>
                <w:sz w:val="18"/>
                <w:szCs w:val="18"/>
                <w:highlight w:val="none"/>
                <w:lang w:bidi="ar"/>
              </w:rPr>
              <w:t>描述</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b/>
                <w:bCs/>
                <w:color w:val="auto"/>
                <w:sz w:val="18"/>
                <w:szCs w:val="18"/>
                <w:highlight w:val="none"/>
              </w:rPr>
            </w:pPr>
            <w:r>
              <w:rPr>
                <w:rFonts w:hint="eastAsia" w:ascii="宋体" w:hAnsi="宋体" w:cs="宋体"/>
                <w:b/>
                <w:bCs/>
                <w:color w:val="auto"/>
                <w:kern w:val="0"/>
                <w:sz w:val="18"/>
                <w:szCs w:val="18"/>
                <w:highlight w:val="none"/>
                <w:lang w:bidi="ar"/>
              </w:rPr>
              <w:t>数量</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b/>
                <w:bCs/>
                <w:color w:val="auto"/>
                <w:sz w:val="18"/>
                <w:szCs w:val="18"/>
                <w:highlight w:val="none"/>
              </w:rPr>
            </w:pPr>
            <w:r>
              <w:rPr>
                <w:rFonts w:hint="eastAsia" w:ascii="宋体" w:hAnsi="宋体" w:cs="宋体"/>
                <w:b/>
                <w:bCs/>
                <w:color w:val="auto"/>
                <w:kern w:val="0"/>
                <w:sz w:val="18"/>
                <w:szCs w:val="18"/>
                <w:highlight w:val="none"/>
                <w:lang w:bidi="ar"/>
              </w:rPr>
              <w:t>单位</w:t>
            </w:r>
          </w:p>
        </w:tc>
      </w:tr>
      <w:tr>
        <w:tblPrEx>
          <w:tblCellMar>
            <w:top w:w="0" w:type="dxa"/>
            <w:left w:w="108" w:type="dxa"/>
            <w:bottom w:w="0" w:type="dxa"/>
            <w:right w:w="108" w:type="dxa"/>
          </w:tblCellMar>
        </w:tblPrEx>
        <w:trPr>
          <w:trHeight w:val="422"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b/>
                <w:bCs/>
                <w:color w:val="auto"/>
                <w:sz w:val="18"/>
                <w:szCs w:val="18"/>
                <w:highlight w:val="none"/>
              </w:rPr>
            </w:pPr>
            <w:r>
              <w:rPr>
                <w:rFonts w:hint="eastAsia" w:ascii="宋体" w:hAnsi="宋体" w:cs="宋体"/>
                <w:b/>
                <w:bCs/>
                <w:color w:val="auto"/>
                <w:kern w:val="0"/>
                <w:sz w:val="18"/>
                <w:szCs w:val="18"/>
                <w:highlight w:val="none"/>
                <w:lang w:bidi="ar"/>
              </w:rPr>
              <w:t>一、</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b/>
                <w:bCs/>
                <w:color w:val="auto"/>
                <w:sz w:val="18"/>
                <w:szCs w:val="18"/>
                <w:highlight w:val="none"/>
              </w:rPr>
            </w:pPr>
            <w:r>
              <w:rPr>
                <w:rFonts w:hint="eastAsia" w:ascii="宋体" w:hAnsi="宋体" w:cs="宋体"/>
                <w:b/>
                <w:bCs/>
                <w:color w:val="auto"/>
                <w:kern w:val="0"/>
                <w:sz w:val="18"/>
                <w:szCs w:val="18"/>
                <w:highlight w:val="none"/>
                <w:lang w:bidi="ar"/>
              </w:rPr>
              <w:t>生命探测仪系统</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s="宋体"/>
                <w:b/>
                <w:bCs/>
                <w:color w:val="auto"/>
                <w:sz w:val="18"/>
                <w:szCs w:val="18"/>
                <w:highlight w:val="none"/>
              </w:rPr>
            </w:pP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s="宋体"/>
                <w:b/>
                <w:bCs/>
                <w:color w:val="auto"/>
                <w:sz w:val="18"/>
                <w:szCs w:val="18"/>
                <w:highlight w:val="none"/>
              </w:rPr>
            </w:pP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s="宋体"/>
                <w:b/>
                <w:bCs/>
                <w:color w:val="auto"/>
                <w:sz w:val="18"/>
                <w:szCs w:val="18"/>
                <w:highlight w:val="none"/>
              </w:rPr>
            </w:pPr>
          </w:p>
        </w:tc>
      </w:tr>
      <w:tr>
        <w:tblPrEx>
          <w:tblCellMar>
            <w:top w:w="0" w:type="dxa"/>
            <w:left w:w="108" w:type="dxa"/>
            <w:bottom w:w="0" w:type="dxa"/>
            <w:right w:w="108" w:type="dxa"/>
          </w:tblCellMar>
        </w:tblPrEx>
        <w:trPr>
          <w:trHeight w:val="90"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1</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微振动车辆安检主机</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1、工业级嵌入式主机：硬盘：</w:t>
            </w:r>
            <w:r>
              <w:rPr>
                <w:rFonts w:hint="eastAsia" w:ascii="宋体" w:hAnsi="宋体" w:cs="宋体"/>
                <w:color w:val="auto"/>
                <w:kern w:val="0"/>
                <w:sz w:val="18"/>
                <w:szCs w:val="18"/>
                <w:highlight w:val="none"/>
                <w:lang w:val="en-US" w:eastAsia="zh-CN" w:bidi="ar"/>
              </w:rPr>
              <w:t>≥</w:t>
            </w:r>
            <w:r>
              <w:rPr>
                <w:rFonts w:hint="eastAsia" w:ascii="宋体" w:hAnsi="宋体" w:cs="宋体"/>
                <w:color w:val="auto"/>
                <w:kern w:val="0"/>
                <w:sz w:val="18"/>
                <w:szCs w:val="18"/>
                <w:highlight w:val="none"/>
                <w:lang w:bidi="ar"/>
              </w:rPr>
              <w:t>1T；</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2、处理器：双核1.99GHz或以上；内存：</w:t>
            </w:r>
            <w:r>
              <w:rPr>
                <w:rFonts w:hint="eastAsia" w:ascii="宋体" w:hAnsi="宋体" w:cs="宋体"/>
                <w:color w:val="auto"/>
                <w:kern w:val="0"/>
                <w:sz w:val="18"/>
                <w:szCs w:val="18"/>
                <w:highlight w:val="none"/>
                <w:lang w:val="en-US" w:eastAsia="zh-CN" w:bidi="ar"/>
              </w:rPr>
              <w:t>≥</w:t>
            </w:r>
            <w:r>
              <w:rPr>
                <w:rFonts w:hint="eastAsia" w:ascii="宋体" w:hAnsi="宋体" w:cs="宋体"/>
                <w:color w:val="auto"/>
                <w:kern w:val="0"/>
                <w:sz w:val="18"/>
                <w:szCs w:val="18"/>
                <w:highlight w:val="none"/>
                <w:lang w:bidi="ar"/>
              </w:rPr>
              <w:t>8G；</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3、接口：提供不少于4个USB接口，2个COM接口，TCP/IP接口，VGA接口；</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4、触控显示屏：红外触摸屏，不小于19寸，分辨率不低于1280*1024。</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1</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套</w:t>
            </w:r>
          </w:p>
        </w:tc>
      </w:tr>
      <w:tr>
        <w:tblPrEx>
          <w:tblCellMar>
            <w:top w:w="0" w:type="dxa"/>
            <w:left w:w="108" w:type="dxa"/>
            <w:bottom w:w="0" w:type="dxa"/>
            <w:right w:w="108" w:type="dxa"/>
          </w:tblCellMar>
        </w:tblPrEx>
        <w:trPr>
          <w:trHeight w:val="90"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2</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微振动雷达车辆安融合检分析软件</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hint="eastAsia"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分析软件应具备以下功能：</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▲1、入侵检测及报警功能：通过传感器对车辆据进行采集、分析，将测试结果用红灯\绿灯模式显示在显示器上。且报警音最大不小于140dB（A）。</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2、传感器实时检测功能：当传感器连接状态出现故障，软件自动中断检测。</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▲3、探测能力：</w:t>
            </w:r>
            <w:r>
              <w:rPr>
                <w:rFonts w:hint="eastAsia" w:ascii="宋体" w:hAnsi="宋体" w:cs="宋体"/>
                <w:color w:val="auto"/>
                <w:kern w:val="0"/>
                <w:sz w:val="18"/>
                <w:szCs w:val="18"/>
                <w:highlight w:val="none"/>
                <w:lang w:val="en-US" w:eastAsia="zh-CN" w:bidi="ar"/>
              </w:rPr>
              <w:t>包括但不限于</w:t>
            </w:r>
            <w:r>
              <w:rPr>
                <w:rFonts w:hint="eastAsia" w:ascii="宋体" w:hAnsi="宋体" w:cs="宋体"/>
                <w:color w:val="auto"/>
                <w:kern w:val="0"/>
                <w:sz w:val="18"/>
                <w:szCs w:val="18"/>
                <w:highlight w:val="none"/>
                <w:lang w:bidi="ar"/>
              </w:rPr>
              <w:t>在隔60mm钢板探测时，应能探测钢板后5米以内静止生命体，在车辆上放置不低于50厘米纸箱或海绵时，应能探测到纸箱上方人员。</w:t>
            </w:r>
            <w:r>
              <w:rPr>
                <w:rFonts w:hint="eastAsia" w:ascii="宋体" w:hAnsi="宋体" w:cs="仿宋_GB2312"/>
                <w:color w:val="auto"/>
                <w:sz w:val="18"/>
                <w:szCs w:val="18"/>
                <w:highlight w:val="none"/>
                <w:lang w:eastAsia="zh-CN"/>
              </w:rPr>
              <w:t>可同时接入</w:t>
            </w:r>
            <w:r>
              <w:rPr>
                <w:rFonts w:ascii="宋体" w:hAnsi="宋体" w:cs="仿宋_GB2312"/>
                <w:color w:val="auto"/>
                <w:sz w:val="18"/>
                <w:szCs w:val="18"/>
                <w:highlight w:val="none"/>
                <w:lang w:eastAsia="zh-CN"/>
              </w:rPr>
              <w:t>52路车辆传感终端3路地面微震传感终端</w:t>
            </w:r>
            <w:r>
              <w:rPr>
                <w:rFonts w:hint="eastAsia" w:ascii="宋体" w:hAnsi="宋体" w:cs="仿宋_GB2312"/>
                <w:color w:val="auto"/>
                <w:sz w:val="18"/>
                <w:szCs w:val="18"/>
                <w:highlight w:val="none"/>
                <w:lang w:eastAsia="zh-CN"/>
              </w:rPr>
              <w:t>，系统需支持同时检测</w:t>
            </w:r>
            <w:r>
              <w:rPr>
                <w:rFonts w:ascii="宋体" w:hAnsi="宋体" w:cs="仿宋_GB2312"/>
                <w:color w:val="auto"/>
                <w:sz w:val="18"/>
                <w:szCs w:val="18"/>
                <w:highlight w:val="none"/>
                <w:lang w:eastAsia="zh-CN"/>
              </w:rPr>
              <w:t>8台车辆</w:t>
            </w:r>
            <w:r>
              <w:rPr>
                <w:rFonts w:hint="eastAsia" w:ascii="宋体" w:hAnsi="宋体" w:cs="仿宋_GB2312"/>
                <w:color w:val="auto"/>
                <w:sz w:val="18"/>
                <w:szCs w:val="18"/>
                <w:highlight w:val="none"/>
                <w:lang w:eastAsia="zh-CN"/>
              </w:rPr>
              <w:t>。</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▲4、检测结果保存功能：系统可设置自动保存或弹窗保存两种方式。</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▲5、系统支持</w:t>
            </w:r>
            <w:r>
              <w:rPr>
                <w:rFonts w:hint="eastAsia" w:ascii="宋体" w:hAnsi="宋体" w:cs="宋体"/>
                <w:color w:val="auto"/>
                <w:kern w:val="0"/>
                <w:sz w:val="18"/>
                <w:szCs w:val="18"/>
                <w:highlight w:val="none"/>
                <w:lang w:val="en-US" w:eastAsia="zh-CN" w:bidi="ar"/>
              </w:rPr>
              <w:t>包括但不限于</w:t>
            </w:r>
            <w:r>
              <w:rPr>
                <w:rFonts w:hint="eastAsia" w:ascii="宋体" w:hAnsi="宋体" w:cs="宋体"/>
                <w:color w:val="auto"/>
                <w:kern w:val="0"/>
                <w:sz w:val="18"/>
                <w:szCs w:val="18"/>
                <w:highlight w:val="none"/>
                <w:lang w:bidi="ar"/>
              </w:rPr>
              <w:t>通过web浏览器远程访问方式，远程查询记录。</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▲6、系统支持</w:t>
            </w:r>
            <w:r>
              <w:rPr>
                <w:rFonts w:hint="eastAsia" w:ascii="宋体" w:hAnsi="宋体" w:cs="宋体"/>
                <w:color w:val="auto"/>
                <w:kern w:val="0"/>
                <w:sz w:val="18"/>
                <w:szCs w:val="18"/>
                <w:highlight w:val="none"/>
                <w:lang w:val="en-US" w:eastAsia="zh-CN" w:bidi="ar"/>
              </w:rPr>
              <w:t>包括但不限于</w:t>
            </w:r>
            <w:r>
              <w:rPr>
                <w:rFonts w:hint="eastAsia" w:ascii="宋体" w:hAnsi="宋体" w:cs="宋体"/>
                <w:color w:val="auto"/>
                <w:kern w:val="0"/>
                <w:sz w:val="18"/>
                <w:szCs w:val="18"/>
                <w:highlight w:val="none"/>
                <w:lang w:bidi="ar"/>
              </w:rPr>
              <w:t>通过web浏览器对多台设备根据设备类型、车牌、日期、检测结果、关键字等进行检索，可以报表方式显示。</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▲7、具有抗干扰能力，当风力不超过10米/秒时或噪声声级80Db时，设备可正常工作。</w:t>
            </w:r>
          </w:p>
          <w:p>
            <w:pPr>
              <w:widowControl/>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w:t>
            </w:r>
            <w:r>
              <w:rPr>
                <w:rFonts w:hint="eastAsia" w:ascii="宋体" w:hAnsi="宋体" w:cs="宋体"/>
                <w:color w:val="auto"/>
                <w:kern w:val="0"/>
                <w:sz w:val="18"/>
                <w:szCs w:val="18"/>
                <w:highlight w:val="none"/>
                <w:lang w:val="en-US" w:eastAsia="zh-CN" w:bidi="ar"/>
              </w:rPr>
              <w:t>8、</w:t>
            </w:r>
            <w:r>
              <w:rPr>
                <w:rFonts w:hint="eastAsia" w:ascii="宋体" w:hAnsi="宋体" w:cs="仿宋_GB2312"/>
                <w:color w:val="auto"/>
                <w:sz w:val="18"/>
                <w:szCs w:val="18"/>
                <w:highlight w:val="none"/>
                <w:lang w:eastAsia="zh-CN"/>
              </w:rPr>
              <w:t>具有针对干扰的检测模式，可通过软件开启或关闭。</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w:t>
            </w:r>
            <w:r>
              <w:rPr>
                <w:rFonts w:hint="eastAsia" w:ascii="宋体" w:hAnsi="宋体" w:cs="宋体"/>
                <w:color w:val="auto"/>
                <w:kern w:val="0"/>
                <w:sz w:val="18"/>
                <w:szCs w:val="18"/>
                <w:highlight w:val="none"/>
                <w:lang w:val="en-US" w:eastAsia="zh-CN" w:bidi="ar"/>
              </w:rPr>
              <w:t>9</w:t>
            </w:r>
            <w:r>
              <w:rPr>
                <w:rFonts w:hint="eastAsia" w:ascii="宋体" w:hAnsi="宋体" w:cs="宋体"/>
                <w:color w:val="auto"/>
                <w:kern w:val="0"/>
                <w:sz w:val="18"/>
                <w:szCs w:val="18"/>
                <w:highlight w:val="none"/>
                <w:lang w:bidi="ar"/>
              </w:rPr>
              <w:t>、设置功能：可设置服务器、网络继电器、微震参数设置，用户管理，车型设置，设备状态。</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w:t>
            </w:r>
            <w:r>
              <w:rPr>
                <w:rFonts w:hint="eastAsia" w:ascii="宋体" w:hAnsi="宋体" w:cs="宋体"/>
                <w:color w:val="auto"/>
                <w:kern w:val="0"/>
                <w:sz w:val="18"/>
                <w:szCs w:val="18"/>
                <w:highlight w:val="none"/>
                <w:lang w:val="en-US" w:eastAsia="zh-CN" w:bidi="ar"/>
              </w:rPr>
              <w:t>10</w:t>
            </w:r>
            <w:r>
              <w:rPr>
                <w:rFonts w:hint="eastAsia" w:ascii="宋体" w:hAnsi="宋体" w:cs="宋体"/>
                <w:color w:val="auto"/>
                <w:kern w:val="0"/>
                <w:sz w:val="18"/>
                <w:szCs w:val="18"/>
                <w:highlight w:val="none"/>
                <w:lang w:bidi="ar"/>
              </w:rPr>
              <w:t>、检测结果上传功能：检测结果可上传，可设置不小于3个上传地址，上传后可通过平台进行审批。</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▲1</w:t>
            </w:r>
            <w:r>
              <w:rPr>
                <w:rFonts w:hint="eastAsia" w:ascii="宋体" w:hAnsi="宋体" w:cs="宋体"/>
                <w:color w:val="auto"/>
                <w:kern w:val="0"/>
                <w:sz w:val="18"/>
                <w:szCs w:val="18"/>
                <w:highlight w:val="none"/>
                <w:lang w:val="en-US" w:eastAsia="zh-CN" w:bidi="ar"/>
              </w:rPr>
              <w:t>1</w:t>
            </w:r>
            <w:r>
              <w:rPr>
                <w:rFonts w:hint="eastAsia" w:ascii="宋体" w:hAnsi="宋体" w:cs="宋体"/>
                <w:color w:val="auto"/>
                <w:kern w:val="0"/>
                <w:sz w:val="18"/>
                <w:szCs w:val="18"/>
                <w:highlight w:val="none"/>
                <w:lang w:bidi="ar"/>
              </w:rPr>
              <w:t>、具有适配</w:t>
            </w:r>
            <w:r>
              <w:rPr>
                <w:rFonts w:hint="eastAsia" w:ascii="宋体" w:hAnsi="宋体" w:cs="宋体"/>
                <w:color w:val="auto"/>
                <w:kern w:val="0"/>
                <w:sz w:val="18"/>
                <w:szCs w:val="18"/>
                <w:highlight w:val="none"/>
                <w:lang w:val="en-US" w:eastAsia="zh-CN" w:bidi="ar"/>
              </w:rPr>
              <w:t>windows或</w:t>
            </w:r>
            <w:r>
              <w:rPr>
                <w:rFonts w:hint="eastAsia" w:ascii="宋体" w:hAnsi="宋体" w:cs="宋体"/>
                <w:color w:val="auto"/>
                <w:kern w:val="0"/>
                <w:sz w:val="18"/>
                <w:szCs w:val="18"/>
                <w:highlight w:val="none"/>
                <w:lang w:bidi="ar"/>
              </w:rPr>
              <w:t>国产麒麟操作系统。</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（以上▲标项提供公安部下属产品质量监督检验中心出具的检测报告相关内容复印件加盖制造商公章，中标后提供原件核查。）</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1</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套</w:t>
            </w:r>
          </w:p>
        </w:tc>
      </w:tr>
      <w:tr>
        <w:tblPrEx>
          <w:tblCellMar>
            <w:top w:w="0" w:type="dxa"/>
            <w:left w:w="108" w:type="dxa"/>
            <w:bottom w:w="0" w:type="dxa"/>
            <w:right w:w="108" w:type="dxa"/>
          </w:tblCellMar>
        </w:tblPrEx>
        <w:trPr>
          <w:trHeight w:val="90"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3</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车辆检测处理主机</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numPr>
                <w:ilvl w:val="0"/>
                <w:numId w:val="0"/>
              </w:numPr>
              <w:spacing w:before="156" w:line="276" w:lineRule="auto"/>
              <w:contextualSpacing/>
              <w:rPr>
                <w:rFonts w:hint="default" w:ascii="宋体" w:hAnsi="宋体" w:cs="宋体"/>
                <w:color w:val="auto"/>
                <w:kern w:val="0"/>
                <w:sz w:val="18"/>
                <w:szCs w:val="18"/>
                <w:highlight w:val="none"/>
                <w:lang w:val="en-US" w:eastAsia="zh-CN" w:bidi="ar"/>
              </w:rPr>
            </w:pPr>
            <w:r>
              <w:rPr>
                <w:rFonts w:hint="eastAsia" w:ascii="宋体" w:hAnsi="宋体" w:cs="仿宋_GB2312"/>
                <w:color w:val="auto"/>
                <w:sz w:val="18"/>
                <w:szCs w:val="18"/>
                <w:highlight w:val="none"/>
                <w:lang w:val="en-US" w:eastAsia="zh-CN"/>
              </w:rPr>
              <w:t>1、</w:t>
            </w:r>
            <w:r>
              <w:rPr>
                <w:rFonts w:hint="eastAsia" w:ascii="宋体" w:hAnsi="宋体" w:cs="仿宋_GB2312"/>
                <w:color w:val="auto"/>
                <w:sz w:val="18"/>
                <w:szCs w:val="18"/>
                <w:highlight w:val="none"/>
                <w:lang w:eastAsia="zh-CN"/>
              </w:rPr>
              <w:t>工作原理：车辆内部藏匿有人时，藏匿者的心脏会产生有节律的跳动，此震动会传递到车辆的悬挂、车厢底部等位置，通过连接传感器和被测车辆，将此震动采集并通过数据线缆传递回数据分析设备，软件进行分析.分析软件运算范围精确集中在心脏跳动的频率范围内，以这种震动分析为基础，在显示终端上可明确显示是否有人存在，并伴随声音报警。</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2、接入传感器种类：可以接入有线传感器、无线传感器、地埋式车辆传感器。</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▲3、耐用性：可在切换200次或以上时，仍可正常使用。</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▲4、数据处理主机具有独立的传感器接入提示，当传感器未连接时，有明确提示，便于管理人员及时判断处置。</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▲5、可以随时切换有线、无线传感器，切换过程可在设备正常运行状态下进行，无需重启系统</w:t>
            </w:r>
            <w:r>
              <w:rPr>
                <w:rFonts w:hint="eastAsia" w:ascii="宋体" w:hAnsi="宋体" w:cs="宋体"/>
                <w:color w:val="auto"/>
                <w:kern w:val="0"/>
                <w:sz w:val="18"/>
                <w:szCs w:val="18"/>
                <w:highlight w:val="none"/>
                <w:lang w:eastAsia="zh-CN" w:bidi="ar"/>
              </w:rPr>
              <w:t>。</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1</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套</w:t>
            </w:r>
          </w:p>
        </w:tc>
      </w:tr>
      <w:tr>
        <w:tblPrEx>
          <w:tblCellMar>
            <w:top w:w="0" w:type="dxa"/>
            <w:left w:w="108" w:type="dxa"/>
            <w:bottom w:w="0" w:type="dxa"/>
            <w:right w:w="108" w:type="dxa"/>
          </w:tblCellMar>
        </w:tblPrEx>
        <w:trPr>
          <w:trHeight w:val="90"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4</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接地感应器</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地面振动传感器：本项目包含有线地面传感器不小于3个。</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1、机械式震动传感器，由永久磁铁、线圈、弹簧、阻尼器和壳体组成。工作电压：12VDC；采集频率范围：0.5HZ～20HZ。</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▲2、跌落测试：通过防跌落测试，跌落高度≥3.0米。碾压测试：经轻型货车3次碾压后，应无机械损伤且能正常工作。</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3、重量不大于500g。</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（以上▲标项提供公安部下属产品质量监督检验中心出具的检测报告相关内容复印件加盖制造商公章，中标后提供原件核查）</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1</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套</w:t>
            </w:r>
          </w:p>
        </w:tc>
      </w:tr>
      <w:tr>
        <w:tblPrEx>
          <w:tblCellMar>
            <w:top w:w="0" w:type="dxa"/>
            <w:left w:w="108" w:type="dxa"/>
            <w:bottom w:w="0" w:type="dxa"/>
            <w:right w:w="108" w:type="dxa"/>
          </w:tblCellMar>
        </w:tblPrEx>
        <w:trPr>
          <w:trHeight w:val="90"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5</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接车感应器</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车辆振动感应器：本项目包含有线传感器不小于2个、无线传感器不少于2个，预留地埋式传感器接口。</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1、有线车辆振动传感器：</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1.1由永久磁铁、线圈、弹簧、阻尼器和壳体组成。工作电压：12VDC；采集频率范围：0.5HZ～20HZ。</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▲1.2跌落测试：通过防跌落测试，跌落高度≥3.8米。碾压测试：经轻型货车3次碾压后，应无机械损伤且能正常工作。</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1.3重量不大于500g(不含吸附磁铁)。</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2、无线车辆振动传感器：</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▲2.1跌落测试：通过防跌落测试，跌落高度≥3.1米。磁铁吸附能力：无线传感器磁铁吸附能力≥20kg。</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2.2无线车辆传感器具有防丢报警功能，报警持续时间0-180秒可设定。</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▲2.3无线车辆传感器自身具有液晶显示屏，屏幕尺寸不小于10mm*20mm，可显示信道、剩余电量、检测时间。</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▲2.4无线传感器具有节能模式，可通过自带按键设置节能模式。设置结果可在显示屏上显示。</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▲2.5满电工作时间≥24小时。</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（以上▲标项提供公安部下属产品质量监督检验中心出具的检测报告相关内容复印件加盖制造商公章，中标后提供原件核查）</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1</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套</w:t>
            </w:r>
          </w:p>
        </w:tc>
      </w:tr>
      <w:tr>
        <w:tblPrEx>
          <w:tblCellMar>
            <w:top w:w="0" w:type="dxa"/>
            <w:left w:w="108" w:type="dxa"/>
            <w:bottom w:w="0" w:type="dxa"/>
            <w:right w:w="108" w:type="dxa"/>
          </w:tblCellMar>
        </w:tblPrEx>
        <w:trPr>
          <w:trHeight w:val="90"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6</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无线传输收发装置</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1、硬件上可明确显示与无线传感器连接信号强度、连接状态及电量。无线传感器处于连接状态时，接收装置应有绿色LED灯闪烁。</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2、具有不低于12路通讯通道号，可通过硬件设置通讯通道号。并可对无线传感器连接数量进行配置。</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3、可以同时连接不少于6路天线。</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2</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套</w:t>
            </w:r>
          </w:p>
        </w:tc>
      </w:tr>
      <w:tr>
        <w:tblPrEx>
          <w:tblCellMar>
            <w:top w:w="0" w:type="dxa"/>
            <w:left w:w="108" w:type="dxa"/>
            <w:bottom w:w="0" w:type="dxa"/>
            <w:right w:w="108" w:type="dxa"/>
          </w:tblCellMar>
        </w:tblPrEx>
        <w:trPr>
          <w:trHeight w:val="90"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7</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数据传输部件</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具有拉伸和卡位停顿功能，具有限位保护装置，可容纳数据电缆最大长度≥18米。</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1</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s="宋体"/>
                <w:color w:val="auto"/>
                <w:sz w:val="18"/>
                <w:szCs w:val="18"/>
                <w:highlight w:val="none"/>
              </w:rPr>
            </w:pPr>
          </w:p>
        </w:tc>
      </w:tr>
      <w:tr>
        <w:tblPrEx>
          <w:tblCellMar>
            <w:top w:w="0" w:type="dxa"/>
            <w:left w:w="108" w:type="dxa"/>
            <w:bottom w:w="0" w:type="dxa"/>
            <w:right w:w="108" w:type="dxa"/>
          </w:tblCellMar>
        </w:tblPrEx>
        <w:trPr>
          <w:trHeight w:val="90"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8</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专用连接数据电缆</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1、三芯、低电压、低衰减。</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 xml:space="preserve">▲2、接口防水防尘等级：IP65；工作温度范围：-40℃～85℃。 </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▲3、碾压测试：经轻型货车100次碾压后，应无机械损伤且能正常工作。</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（以上▲标项提供公安部下属产品质量监督检验中心出具的检测报告相关内容复印件加盖制造商公章，中标后提供原件核查）</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5</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套</w:t>
            </w:r>
          </w:p>
        </w:tc>
      </w:tr>
      <w:tr>
        <w:tblPrEx>
          <w:tblCellMar>
            <w:top w:w="0" w:type="dxa"/>
            <w:left w:w="108" w:type="dxa"/>
            <w:bottom w:w="0" w:type="dxa"/>
            <w:right w:w="108" w:type="dxa"/>
          </w:tblCellMar>
        </w:tblPrEx>
        <w:trPr>
          <w:trHeight w:val="399"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9</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机柜</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根据采购人现场实际使用环境进行设计。要求外形美观、设计合理、使用方便。</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1</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套</w:t>
            </w:r>
          </w:p>
        </w:tc>
      </w:tr>
      <w:tr>
        <w:tblPrEx>
          <w:tblCellMar>
            <w:top w:w="0" w:type="dxa"/>
            <w:left w:w="108" w:type="dxa"/>
            <w:bottom w:w="0" w:type="dxa"/>
            <w:right w:w="108" w:type="dxa"/>
          </w:tblCellMar>
        </w:tblPrEx>
        <w:trPr>
          <w:trHeight w:val="482"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b/>
                <w:bCs/>
                <w:color w:val="auto"/>
                <w:sz w:val="18"/>
                <w:szCs w:val="18"/>
                <w:highlight w:val="none"/>
              </w:rPr>
            </w:pPr>
            <w:r>
              <w:rPr>
                <w:rFonts w:hint="eastAsia" w:ascii="宋体" w:hAnsi="宋体" w:cs="宋体"/>
                <w:b/>
                <w:bCs/>
                <w:color w:val="auto"/>
                <w:kern w:val="0"/>
                <w:sz w:val="18"/>
                <w:szCs w:val="18"/>
                <w:highlight w:val="none"/>
                <w:lang w:bidi="ar"/>
              </w:rPr>
              <w:t>二、</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b/>
                <w:bCs/>
                <w:color w:val="auto"/>
                <w:sz w:val="18"/>
                <w:szCs w:val="18"/>
                <w:highlight w:val="none"/>
              </w:rPr>
            </w:pPr>
            <w:r>
              <w:rPr>
                <w:rFonts w:hint="eastAsia" w:ascii="宋体" w:hAnsi="宋体" w:cs="宋体"/>
                <w:b/>
                <w:bCs/>
                <w:color w:val="auto"/>
                <w:kern w:val="0"/>
                <w:sz w:val="18"/>
                <w:szCs w:val="18"/>
                <w:highlight w:val="none"/>
                <w:lang w:bidi="ar"/>
              </w:rPr>
              <w:t>固定车底扫描系统</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s="宋体"/>
                <w:b/>
                <w:bCs/>
                <w:color w:val="auto"/>
                <w:sz w:val="18"/>
                <w:szCs w:val="18"/>
                <w:highlight w:val="none"/>
              </w:rPr>
            </w:pP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s="宋体"/>
                <w:b/>
                <w:bCs/>
                <w:color w:val="auto"/>
                <w:sz w:val="18"/>
                <w:szCs w:val="18"/>
                <w:highlight w:val="none"/>
              </w:rPr>
            </w:pP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s="宋体"/>
                <w:b/>
                <w:bCs/>
                <w:color w:val="auto"/>
                <w:sz w:val="18"/>
                <w:szCs w:val="18"/>
                <w:highlight w:val="none"/>
              </w:rPr>
            </w:pPr>
          </w:p>
        </w:tc>
      </w:tr>
      <w:tr>
        <w:tblPrEx>
          <w:tblCellMar>
            <w:top w:w="0" w:type="dxa"/>
            <w:left w:w="108" w:type="dxa"/>
            <w:bottom w:w="0" w:type="dxa"/>
            <w:right w:w="108" w:type="dxa"/>
          </w:tblCellMar>
        </w:tblPrEx>
        <w:trPr>
          <w:trHeight w:val="90"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color w:val="auto"/>
                <w:sz w:val="18"/>
                <w:szCs w:val="18"/>
                <w:highlight w:val="none"/>
                <w:lang w:val="en-US" w:eastAsia="zh-CN"/>
              </w:rPr>
            </w:pPr>
            <w:r>
              <w:rPr>
                <w:rFonts w:hint="eastAsia" w:ascii="宋体" w:hAnsi="宋体" w:cs="宋体"/>
                <w:color w:val="auto"/>
                <w:sz w:val="18"/>
                <w:szCs w:val="18"/>
                <w:highlight w:val="none"/>
                <w:lang w:val="en-US" w:eastAsia="zh-CN"/>
              </w:rPr>
              <w:t>1</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车底扫描系统</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numPr>
                <w:ilvl w:val="0"/>
                <w:numId w:val="4"/>
              </w:numPr>
              <w:textAlignment w:val="center"/>
              <w:rPr>
                <w:rFonts w:hint="eastAsia" w:ascii="宋体" w:hAnsi="宋体" w:cs="宋体"/>
                <w:color w:val="auto"/>
                <w:kern w:val="0"/>
                <w:sz w:val="18"/>
                <w:szCs w:val="18"/>
                <w:highlight w:val="none"/>
                <w:lang w:val="en-US" w:eastAsia="zh-CN" w:bidi="ar"/>
              </w:rPr>
            </w:pPr>
            <w:r>
              <w:rPr>
                <w:rFonts w:hint="eastAsia" w:ascii="宋体" w:hAnsi="宋体" w:cs="宋体"/>
                <w:color w:val="auto"/>
                <w:kern w:val="0"/>
                <w:sz w:val="18"/>
                <w:szCs w:val="18"/>
                <w:highlight w:val="none"/>
                <w:lang w:bidi="ar"/>
              </w:rPr>
              <w:t>车底图像分辨率：通用分辨率</w:t>
            </w:r>
            <w:r>
              <w:rPr>
                <w:rFonts w:hint="eastAsia" w:ascii="宋体" w:hAnsi="宋体" w:cs="宋体"/>
                <w:color w:val="auto"/>
                <w:kern w:val="0"/>
                <w:sz w:val="18"/>
                <w:szCs w:val="18"/>
                <w:highlight w:val="none"/>
                <w:lang w:val="en-US" w:eastAsia="zh-CN" w:bidi="ar"/>
              </w:rPr>
              <w:t>≥</w:t>
            </w:r>
            <w:r>
              <w:rPr>
                <w:rFonts w:hint="eastAsia" w:ascii="宋体" w:hAnsi="宋体" w:cs="宋体"/>
                <w:color w:val="auto"/>
                <w:kern w:val="0"/>
                <w:sz w:val="18"/>
                <w:szCs w:val="18"/>
                <w:highlight w:val="none"/>
                <w:lang w:bidi="ar"/>
              </w:rPr>
              <w:t>9000万像素（7500*12000）</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2</w:t>
            </w:r>
            <w:r>
              <w:rPr>
                <w:rFonts w:hint="eastAsia" w:ascii="宋体" w:hAnsi="宋体" w:cs="宋体"/>
                <w:color w:val="auto"/>
                <w:kern w:val="0"/>
                <w:sz w:val="18"/>
                <w:szCs w:val="18"/>
                <w:highlight w:val="none"/>
                <w:lang w:eastAsia="zh-CN" w:bidi="ar"/>
              </w:rPr>
              <w:t>、</w:t>
            </w:r>
            <w:r>
              <w:rPr>
                <w:rFonts w:hint="eastAsia" w:ascii="宋体" w:hAnsi="宋体" w:cs="宋体"/>
                <w:color w:val="auto"/>
                <w:kern w:val="0"/>
                <w:sz w:val="18"/>
                <w:szCs w:val="18"/>
                <w:highlight w:val="none"/>
                <w:lang w:bidi="ar"/>
              </w:rPr>
              <w:t>车底图像灰度等级：支持13级</w:t>
            </w:r>
            <w:r>
              <w:rPr>
                <w:rFonts w:hint="eastAsia" w:ascii="宋体" w:hAnsi="宋体" w:cs="宋体"/>
                <w:color w:val="auto"/>
                <w:kern w:val="0"/>
                <w:sz w:val="18"/>
                <w:szCs w:val="18"/>
                <w:highlight w:val="none"/>
                <w:lang w:val="en-US" w:eastAsia="zh-CN" w:bidi="ar"/>
              </w:rPr>
              <w:t>及以上</w:t>
            </w:r>
            <w:r>
              <w:rPr>
                <w:rFonts w:hint="eastAsia" w:ascii="宋体" w:hAnsi="宋体" w:cs="宋体"/>
                <w:color w:val="auto"/>
                <w:kern w:val="0"/>
                <w:sz w:val="18"/>
                <w:szCs w:val="18"/>
                <w:highlight w:val="none"/>
                <w:lang w:bidi="ar"/>
              </w:rPr>
              <w:t>；</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3</w:t>
            </w:r>
            <w:r>
              <w:rPr>
                <w:rFonts w:hint="eastAsia" w:ascii="宋体" w:hAnsi="宋体" w:cs="宋体"/>
                <w:color w:val="auto"/>
                <w:kern w:val="0"/>
                <w:sz w:val="18"/>
                <w:szCs w:val="18"/>
                <w:highlight w:val="none"/>
                <w:lang w:eastAsia="zh-CN" w:bidi="ar"/>
              </w:rPr>
              <w:t>、</w:t>
            </w:r>
            <w:r>
              <w:rPr>
                <w:rFonts w:hint="eastAsia" w:ascii="宋体" w:hAnsi="宋体" w:cs="宋体"/>
                <w:color w:val="auto"/>
                <w:kern w:val="0"/>
                <w:sz w:val="18"/>
                <w:szCs w:val="18"/>
                <w:highlight w:val="none"/>
                <w:lang w:bidi="ar"/>
              </w:rPr>
              <w:t>检测车速：建议≤32km/h，最高适应120km/h</w:t>
            </w:r>
            <w:r>
              <w:rPr>
                <w:rFonts w:hint="eastAsia" w:ascii="宋体" w:hAnsi="宋体" w:cs="宋体"/>
                <w:color w:val="auto"/>
                <w:kern w:val="0"/>
                <w:sz w:val="18"/>
                <w:szCs w:val="18"/>
                <w:highlight w:val="none"/>
                <w:lang w:val="en-US" w:eastAsia="zh-CN" w:bidi="ar"/>
              </w:rPr>
              <w:t xml:space="preserve">   </w:t>
            </w:r>
          </w:p>
          <w:p>
            <w:pPr>
              <w:widowControl/>
              <w:numPr>
                <w:ilvl w:val="0"/>
                <w:numId w:val="0"/>
              </w:numP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4</w:t>
            </w:r>
            <w:r>
              <w:rPr>
                <w:rFonts w:hint="eastAsia" w:ascii="宋体" w:hAnsi="宋体" w:cs="宋体"/>
                <w:color w:val="auto"/>
                <w:kern w:val="0"/>
                <w:sz w:val="18"/>
                <w:szCs w:val="18"/>
                <w:highlight w:val="none"/>
                <w:lang w:eastAsia="zh-CN" w:bidi="ar"/>
              </w:rPr>
              <w:t>、</w:t>
            </w:r>
            <w:r>
              <w:rPr>
                <w:rFonts w:hint="eastAsia" w:ascii="宋体" w:hAnsi="宋体" w:cs="宋体"/>
                <w:color w:val="auto"/>
                <w:kern w:val="0"/>
                <w:sz w:val="18"/>
                <w:szCs w:val="18"/>
                <w:highlight w:val="none"/>
                <w:lang w:bidi="ar"/>
              </w:rPr>
              <w:t>当车辆以120km/h的速度通过时，系统车底图像采集组件应能自动扫描并显示清晰完整的车辆底盘图像1S出图</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5</w:t>
            </w:r>
            <w:r>
              <w:rPr>
                <w:rFonts w:hint="eastAsia" w:ascii="宋体" w:hAnsi="宋体" w:cs="宋体"/>
                <w:color w:val="auto"/>
                <w:kern w:val="0"/>
                <w:sz w:val="18"/>
                <w:szCs w:val="18"/>
                <w:highlight w:val="none"/>
                <w:lang w:eastAsia="zh-CN" w:bidi="ar"/>
              </w:rPr>
              <w:t>、</w:t>
            </w:r>
            <w:r>
              <w:rPr>
                <w:rFonts w:hint="eastAsia" w:ascii="宋体" w:hAnsi="宋体" w:cs="宋体"/>
                <w:color w:val="auto"/>
                <w:kern w:val="0"/>
                <w:sz w:val="18"/>
                <w:szCs w:val="18"/>
                <w:highlight w:val="none"/>
                <w:lang w:bidi="ar"/>
              </w:rPr>
              <w:t>车底图像显示方式：大幅面横向彩色显示；</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6</w:t>
            </w:r>
            <w:r>
              <w:rPr>
                <w:rFonts w:hint="eastAsia" w:ascii="宋体" w:hAnsi="宋体" w:cs="宋体"/>
                <w:color w:val="auto"/>
                <w:kern w:val="0"/>
                <w:sz w:val="18"/>
                <w:szCs w:val="18"/>
                <w:highlight w:val="none"/>
                <w:lang w:eastAsia="zh-CN" w:bidi="ar"/>
              </w:rPr>
              <w:t>、</w:t>
            </w:r>
            <w:r>
              <w:rPr>
                <w:rFonts w:hint="eastAsia" w:ascii="宋体" w:hAnsi="宋体" w:cs="宋体"/>
                <w:color w:val="auto"/>
                <w:kern w:val="0"/>
                <w:sz w:val="18"/>
                <w:szCs w:val="18"/>
                <w:highlight w:val="none"/>
                <w:lang w:bidi="ar"/>
              </w:rPr>
              <w:t>车底图像存储格式：标准JPEG图像格式；</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7</w:t>
            </w:r>
            <w:r>
              <w:rPr>
                <w:rFonts w:hint="eastAsia" w:ascii="宋体" w:hAnsi="宋体" w:cs="宋体"/>
                <w:color w:val="auto"/>
                <w:kern w:val="0"/>
                <w:sz w:val="18"/>
                <w:szCs w:val="18"/>
                <w:highlight w:val="none"/>
                <w:lang w:eastAsia="zh-CN" w:bidi="ar"/>
              </w:rPr>
              <w:t>、</w:t>
            </w:r>
            <w:r>
              <w:rPr>
                <w:rFonts w:hint="eastAsia" w:ascii="宋体" w:hAnsi="宋体" w:cs="宋体"/>
                <w:color w:val="auto"/>
                <w:kern w:val="0"/>
                <w:sz w:val="18"/>
                <w:szCs w:val="18"/>
                <w:highlight w:val="none"/>
                <w:lang w:bidi="ar"/>
              </w:rPr>
              <w:t>场景图像显示记录：≥1路（可扩充多路）；</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8</w:t>
            </w:r>
            <w:r>
              <w:rPr>
                <w:rFonts w:hint="eastAsia" w:ascii="宋体" w:hAnsi="宋体" w:cs="宋体"/>
                <w:color w:val="auto"/>
                <w:kern w:val="0"/>
                <w:sz w:val="18"/>
                <w:szCs w:val="18"/>
                <w:highlight w:val="none"/>
                <w:lang w:eastAsia="zh-CN" w:bidi="ar"/>
              </w:rPr>
              <w:t>、</w:t>
            </w:r>
            <w:r>
              <w:rPr>
                <w:rFonts w:hint="eastAsia" w:ascii="宋体" w:hAnsi="宋体" w:cs="宋体"/>
                <w:color w:val="auto"/>
                <w:kern w:val="0"/>
                <w:sz w:val="18"/>
                <w:szCs w:val="18"/>
                <w:highlight w:val="none"/>
                <w:lang w:bidi="ar"/>
              </w:rPr>
              <w:t>具备车牌识别功能的系统，其车牌抓拍率：≥99%，识别率：≥99%；</w:t>
            </w:r>
            <w:r>
              <w:rPr>
                <w:rFonts w:hint="eastAsia" w:ascii="宋体" w:hAnsi="宋体" w:cs="宋体"/>
                <w:color w:val="auto"/>
                <w:kern w:val="0"/>
                <w:sz w:val="18"/>
                <w:szCs w:val="18"/>
                <w:highlight w:val="none"/>
                <w:lang w:bidi="ar"/>
              </w:rPr>
              <w:br w:type="textWrapping"/>
            </w:r>
            <w:r>
              <w:rPr>
                <w:rFonts w:ascii="宋体" w:hAnsi="宋体" w:cs="宋体"/>
                <w:color w:val="auto"/>
                <w:kern w:val="0"/>
                <w:sz w:val="18"/>
                <w:szCs w:val="18"/>
                <w:highlight w:val="none"/>
                <w:lang w:bidi="ar"/>
              </w:rPr>
              <w:t>9</w:t>
            </w:r>
            <w:r>
              <w:rPr>
                <w:rFonts w:hint="eastAsia" w:ascii="宋体" w:hAnsi="宋体" w:cs="宋体"/>
                <w:color w:val="auto"/>
                <w:kern w:val="0"/>
                <w:sz w:val="18"/>
                <w:szCs w:val="18"/>
                <w:highlight w:val="none"/>
                <w:lang w:eastAsia="zh-CN" w:bidi="ar"/>
              </w:rPr>
              <w:t>、</w:t>
            </w:r>
            <w:r>
              <w:rPr>
                <w:rFonts w:hint="eastAsia" w:ascii="宋体" w:hAnsi="宋体" w:cs="宋体"/>
                <w:color w:val="auto"/>
                <w:kern w:val="0"/>
                <w:sz w:val="18"/>
                <w:szCs w:val="18"/>
                <w:highlight w:val="none"/>
                <w:lang w:bidi="ar"/>
              </w:rPr>
              <w:t>系统支持按照日期、时间、抓拍设备、车牌号码等信息快速检索到已采集的车底、车牌及车辆外观图像；</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1</w:t>
            </w:r>
            <w:r>
              <w:rPr>
                <w:rFonts w:ascii="宋体" w:hAnsi="宋体" w:cs="宋体"/>
                <w:color w:val="auto"/>
                <w:kern w:val="0"/>
                <w:sz w:val="18"/>
                <w:szCs w:val="18"/>
                <w:highlight w:val="none"/>
                <w:lang w:bidi="ar"/>
              </w:rPr>
              <w:t>0</w:t>
            </w:r>
            <w:r>
              <w:rPr>
                <w:rFonts w:hint="eastAsia" w:ascii="宋体" w:hAnsi="宋体" w:cs="宋体"/>
                <w:color w:val="auto"/>
                <w:kern w:val="0"/>
                <w:sz w:val="18"/>
                <w:szCs w:val="18"/>
                <w:highlight w:val="none"/>
                <w:lang w:eastAsia="zh-CN" w:bidi="ar"/>
              </w:rPr>
              <w:t>、</w:t>
            </w:r>
            <w:r>
              <w:rPr>
                <w:rFonts w:hint="eastAsia" w:ascii="宋体" w:hAnsi="宋体" w:cs="宋体"/>
                <w:color w:val="auto"/>
                <w:kern w:val="0"/>
                <w:sz w:val="18"/>
                <w:szCs w:val="18"/>
                <w:highlight w:val="none"/>
                <w:lang w:bidi="ar"/>
              </w:rPr>
              <w:t>系统支持对通过的车辆允许选择“通行”与“不通行”的判别，并查询判别结果，应支持选择禁止通行原因及备注详细原困，并支持一键弹出通行区域视频图像；</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1</w:t>
            </w:r>
            <w:r>
              <w:rPr>
                <w:rFonts w:ascii="宋体" w:hAnsi="宋体" w:cs="宋体"/>
                <w:color w:val="auto"/>
                <w:kern w:val="0"/>
                <w:sz w:val="18"/>
                <w:szCs w:val="18"/>
                <w:highlight w:val="none"/>
                <w:lang w:bidi="ar"/>
              </w:rPr>
              <w:t>1</w:t>
            </w:r>
            <w:r>
              <w:rPr>
                <w:rFonts w:hint="eastAsia" w:ascii="宋体" w:hAnsi="宋体" w:cs="宋体"/>
                <w:color w:val="auto"/>
                <w:kern w:val="0"/>
                <w:sz w:val="18"/>
                <w:szCs w:val="18"/>
                <w:highlight w:val="none"/>
                <w:lang w:eastAsia="zh-CN" w:bidi="ar"/>
              </w:rPr>
              <w:t>、</w:t>
            </w:r>
            <w:r>
              <w:rPr>
                <w:rFonts w:hint="eastAsia" w:ascii="宋体" w:hAnsi="宋体" w:cs="宋体"/>
                <w:color w:val="auto"/>
                <w:kern w:val="0"/>
                <w:sz w:val="18"/>
                <w:szCs w:val="18"/>
                <w:highlight w:val="none"/>
                <w:lang w:bidi="ar"/>
              </w:rPr>
              <w:t>当自动触发异常，或是线圈故障，可以切换到手动触发模式，车底扫描系统以手动模式工作来完成车底检查工作。</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1</w:t>
            </w:r>
            <w:r>
              <w:rPr>
                <w:rFonts w:ascii="宋体" w:hAnsi="宋体" w:cs="宋体"/>
                <w:color w:val="auto"/>
                <w:kern w:val="0"/>
                <w:sz w:val="18"/>
                <w:szCs w:val="18"/>
                <w:highlight w:val="none"/>
                <w:lang w:bidi="ar"/>
              </w:rPr>
              <w:t>2</w:t>
            </w:r>
            <w:r>
              <w:rPr>
                <w:rFonts w:hint="eastAsia" w:ascii="宋体" w:hAnsi="宋体" w:cs="宋体"/>
                <w:color w:val="auto"/>
                <w:kern w:val="0"/>
                <w:sz w:val="18"/>
                <w:szCs w:val="18"/>
                <w:highlight w:val="none"/>
                <w:lang w:eastAsia="zh-CN" w:bidi="ar"/>
              </w:rPr>
              <w:t>、</w:t>
            </w:r>
            <w:r>
              <w:rPr>
                <w:rFonts w:hint="eastAsia" w:ascii="宋体" w:hAnsi="宋体" w:cs="宋体"/>
                <w:color w:val="auto"/>
                <w:kern w:val="0"/>
                <w:sz w:val="18"/>
                <w:szCs w:val="18"/>
                <w:highlight w:val="none"/>
                <w:lang w:bidi="ar"/>
              </w:rPr>
              <w:t>系统软件支持实时显示车底摄像机、入口摄像机和出口摄像机等接入摄像机连接状态</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1</w:t>
            </w:r>
            <w:r>
              <w:rPr>
                <w:rFonts w:ascii="宋体" w:hAnsi="宋体" w:cs="宋体"/>
                <w:color w:val="auto"/>
                <w:kern w:val="0"/>
                <w:sz w:val="18"/>
                <w:szCs w:val="18"/>
                <w:highlight w:val="none"/>
                <w:lang w:bidi="ar"/>
              </w:rPr>
              <w:t>3</w:t>
            </w:r>
            <w:r>
              <w:rPr>
                <w:rFonts w:hint="eastAsia" w:ascii="宋体" w:hAnsi="宋体" w:cs="宋体"/>
                <w:color w:val="auto"/>
                <w:kern w:val="0"/>
                <w:sz w:val="18"/>
                <w:szCs w:val="18"/>
                <w:highlight w:val="none"/>
                <w:lang w:eastAsia="zh-CN" w:bidi="ar"/>
              </w:rPr>
              <w:t>、</w:t>
            </w:r>
            <w:r>
              <w:rPr>
                <w:rFonts w:hint="eastAsia" w:ascii="宋体" w:hAnsi="宋体" w:cs="宋体"/>
                <w:color w:val="auto"/>
                <w:kern w:val="0"/>
                <w:sz w:val="18"/>
                <w:szCs w:val="18"/>
                <w:highlight w:val="none"/>
                <w:lang w:bidi="ar"/>
              </w:rPr>
              <w:t>系统车底图像应支持选择使用bmp、jpeg、tif或png格式存储，并应支持自定义图片格式。</w:t>
            </w:r>
            <w:r>
              <w:rPr>
                <w:rFonts w:hint="eastAsia" w:ascii="宋体" w:hAnsi="宋体" w:cs="宋体"/>
                <w:color w:val="auto"/>
                <w:kern w:val="0"/>
                <w:sz w:val="18"/>
                <w:szCs w:val="18"/>
                <w:highlight w:val="none"/>
                <w:lang w:bidi="ar"/>
              </w:rPr>
              <w:br w:type="textWrapping"/>
            </w:r>
            <w:r>
              <w:rPr>
                <w:rFonts w:ascii="宋体" w:hAnsi="宋体" w:cs="宋体"/>
                <w:color w:val="auto"/>
                <w:kern w:val="0"/>
                <w:sz w:val="18"/>
                <w:szCs w:val="18"/>
                <w:highlight w:val="none"/>
                <w:lang w:bidi="ar"/>
              </w:rPr>
              <w:t>14</w:t>
            </w:r>
            <w:r>
              <w:rPr>
                <w:rFonts w:hint="eastAsia" w:ascii="宋体" w:hAnsi="宋体" w:cs="宋体"/>
                <w:color w:val="auto"/>
                <w:kern w:val="0"/>
                <w:sz w:val="18"/>
                <w:szCs w:val="18"/>
                <w:highlight w:val="none"/>
                <w:lang w:eastAsia="zh-CN" w:bidi="ar"/>
              </w:rPr>
              <w:t>、</w:t>
            </w:r>
            <w:r>
              <w:rPr>
                <w:rFonts w:hint="eastAsia" w:ascii="宋体" w:hAnsi="宋体" w:cs="宋体"/>
                <w:color w:val="auto"/>
                <w:kern w:val="0"/>
                <w:sz w:val="18"/>
                <w:szCs w:val="18"/>
                <w:highlight w:val="none"/>
                <w:lang w:bidi="ar"/>
              </w:rPr>
              <w:t>系统应支持通过联动升降柱及翻板式路障机等阻止可疑车辆通行，并支持一键弹出通行区域视频图像。</w:t>
            </w:r>
            <w:r>
              <w:rPr>
                <w:rFonts w:hint="eastAsia" w:ascii="宋体" w:hAnsi="宋体" w:cs="宋体"/>
                <w:color w:val="auto"/>
                <w:kern w:val="0"/>
                <w:sz w:val="18"/>
                <w:szCs w:val="18"/>
                <w:highlight w:val="none"/>
                <w:lang w:bidi="ar"/>
              </w:rPr>
              <w:br w:type="textWrapping"/>
            </w:r>
            <w:r>
              <w:rPr>
                <w:rFonts w:ascii="宋体" w:hAnsi="宋体" w:cs="宋体"/>
                <w:color w:val="auto"/>
                <w:kern w:val="0"/>
                <w:sz w:val="18"/>
                <w:szCs w:val="18"/>
                <w:highlight w:val="none"/>
                <w:lang w:bidi="ar"/>
              </w:rPr>
              <w:t>15</w:t>
            </w:r>
            <w:r>
              <w:rPr>
                <w:rFonts w:hint="eastAsia" w:ascii="宋体" w:hAnsi="宋体" w:cs="宋体"/>
                <w:color w:val="auto"/>
                <w:kern w:val="0"/>
                <w:sz w:val="18"/>
                <w:szCs w:val="18"/>
                <w:highlight w:val="none"/>
                <w:lang w:eastAsia="zh-CN" w:bidi="ar"/>
              </w:rPr>
              <w:t>、</w:t>
            </w:r>
            <w:r>
              <w:rPr>
                <w:rFonts w:hint="eastAsia" w:ascii="宋体" w:hAnsi="宋体" w:cs="宋体"/>
                <w:color w:val="auto"/>
                <w:kern w:val="0"/>
                <w:sz w:val="18"/>
                <w:szCs w:val="18"/>
                <w:highlight w:val="none"/>
                <w:lang w:bidi="ar"/>
              </w:rPr>
              <w:t>图像采集性能等级试验：根据系统车底图像采集设备采集到的图像质量不同。产品图像质量应该要达到A级。图像主观评价应符合GB/T 7401-1987的规定，车底图像灰度等级的判定应符合GB/T 6996-2012的规定。</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1</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套</w:t>
            </w:r>
          </w:p>
        </w:tc>
      </w:tr>
      <w:tr>
        <w:tblPrEx>
          <w:tblCellMar>
            <w:top w:w="0" w:type="dxa"/>
            <w:left w:w="108" w:type="dxa"/>
            <w:bottom w:w="0" w:type="dxa"/>
            <w:right w:w="108" w:type="dxa"/>
          </w:tblCellMar>
        </w:tblPrEx>
        <w:trPr>
          <w:trHeight w:val="90"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color w:val="auto"/>
                <w:sz w:val="18"/>
                <w:szCs w:val="18"/>
                <w:highlight w:val="none"/>
                <w:lang w:val="en-US" w:eastAsia="zh-CN"/>
              </w:rPr>
            </w:pPr>
            <w:r>
              <w:rPr>
                <w:rFonts w:hint="eastAsia" w:ascii="宋体" w:hAnsi="宋体" w:cs="宋体"/>
                <w:color w:val="auto"/>
                <w:sz w:val="18"/>
                <w:szCs w:val="18"/>
                <w:highlight w:val="none"/>
                <w:lang w:val="en-US" w:eastAsia="zh-CN"/>
              </w:rPr>
              <w:t>2</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车底扫描仪</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val="en-US" w:eastAsia="zh-CN" w:bidi="ar"/>
              </w:rPr>
              <w:t>1、</w:t>
            </w:r>
            <w:r>
              <w:rPr>
                <w:rFonts w:hint="eastAsia" w:ascii="宋体" w:hAnsi="宋体" w:cs="宋体"/>
                <w:color w:val="auto"/>
                <w:kern w:val="0"/>
                <w:sz w:val="18"/>
                <w:szCs w:val="18"/>
                <w:highlight w:val="none"/>
                <w:lang w:bidi="ar"/>
              </w:rPr>
              <w:t>采用彩色线阵工业相机CCD扫描技术动态方式成像；</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val="en-US" w:eastAsia="zh-CN" w:bidi="ar"/>
              </w:rPr>
              <w:t>2、</w:t>
            </w:r>
            <w:r>
              <w:rPr>
                <w:rFonts w:hint="eastAsia" w:ascii="宋体" w:hAnsi="宋体" w:cs="宋体"/>
                <w:color w:val="auto"/>
                <w:kern w:val="0"/>
                <w:sz w:val="18"/>
                <w:szCs w:val="18"/>
                <w:highlight w:val="none"/>
                <w:lang w:bidi="ar"/>
              </w:rPr>
              <w:t>底盘存储或载入时间：≤1秒；</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val="en-US" w:eastAsia="zh-CN" w:bidi="ar"/>
              </w:rPr>
              <w:t>3、</w:t>
            </w:r>
            <w:r>
              <w:rPr>
                <w:rFonts w:hint="eastAsia" w:ascii="宋体" w:hAnsi="宋体" w:cs="宋体"/>
                <w:color w:val="auto"/>
                <w:kern w:val="0"/>
                <w:sz w:val="18"/>
                <w:szCs w:val="18"/>
                <w:highlight w:val="none"/>
                <w:lang w:bidi="ar"/>
              </w:rPr>
              <w:t>检测车辆底盘高度：≥40mm；</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val="en-US" w:eastAsia="zh-CN" w:bidi="ar"/>
              </w:rPr>
              <w:t>4、</w:t>
            </w:r>
            <w:r>
              <w:rPr>
                <w:rFonts w:hint="eastAsia" w:ascii="宋体" w:hAnsi="宋体" w:cs="宋体"/>
                <w:color w:val="auto"/>
                <w:kern w:val="0"/>
                <w:sz w:val="18"/>
                <w:szCs w:val="18"/>
                <w:highlight w:val="none"/>
                <w:lang w:bidi="ar"/>
              </w:rPr>
              <w:t>检测车辆底盘宽度：≤4000mm；</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val="en-US" w:eastAsia="zh-CN" w:bidi="ar"/>
              </w:rPr>
              <w:t>5、</w:t>
            </w:r>
            <w:r>
              <w:rPr>
                <w:rFonts w:hint="eastAsia" w:ascii="宋体" w:hAnsi="宋体" w:cs="宋体"/>
                <w:color w:val="auto"/>
                <w:kern w:val="0"/>
                <w:sz w:val="18"/>
                <w:szCs w:val="18"/>
                <w:highlight w:val="none"/>
                <w:lang w:bidi="ar"/>
              </w:rPr>
              <w:t>适应环境温度：-40℃ ~ +85℃；</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val="en-US" w:eastAsia="zh-CN" w:bidi="ar"/>
              </w:rPr>
              <w:t>6、</w:t>
            </w:r>
            <w:r>
              <w:rPr>
                <w:rFonts w:hint="eastAsia" w:ascii="宋体" w:hAnsi="宋体" w:cs="宋体"/>
                <w:color w:val="auto"/>
                <w:kern w:val="0"/>
                <w:sz w:val="18"/>
                <w:szCs w:val="18"/>
                <w:highlight w:val="none"/>
                <w:lang w:bidi="ar"/>
              </w:rPr>
              <w:t>视场角度：180°；</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val="en-US" w:eastAsia="zh-CN" w:bidi="ar"/>
              </w:rPr>
              <w:t>7、</w:t>
            </w:r>
            <w:r>
              <w:rPr>
                <w:rFonts w:hint="eastAsia" w:ascii="宋体" w:hAnsi="宋体" w:cs="宋体"/>
                <w:color w:val="auto"/>
                <w:kern w:val="0"/>
                <w:sz w:val="18"/>
                <w:szCs w:val="18"/>
                <w:highlight w:val="none"/>
                <w:lang w:bidi="ar"/>
              </w:rPr>
              <w:t>系统扫描装置外壳材质为304不锈钢,车底图像扫描系统主体支持承压重量：</w:t>
            </w:r>
            <w:r>
              <w:rPr>
                <w:rFonts w:hint="eastAsia" w:ascii="宋体" w:hAnsi="宋体" w:cs="宋体"/>
                <w:color w:val="auto"/>
                <w:kern w:val="0"/>
                <w:sz w:val="18"/>
                <w:szCs w:val="18"/>
                <w:highlight w:val="none"/>
                <w:lang w:val="en-US" w:eastAsia="zh-CN" w:bidi="ar"/>
              </w:rPr>
              <w:t>≥</w:t>
            </w:r>
            <w:r>
              <w:rPr>
                <w:rFonts w:hint="eastAsia" w:ascii="宋体" w:hAnsi="宋体" w:cs="宋体"/>
                <w:color w:val="auto"/>
                <w:kern w:val="0"/>
                <w:sz w:val="18"/>
                <w:szCs w:val="18"/>
                <w:highlight w:val="none"/>
                <w:lang w:bidi="ar"/>
              </w:rPr>
              <w:t>50吨</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val="en-US" w:eastAsia="zh-CN" w:bidi="ar"/>
              </w:rPr>
              <w:t>8、</w:t>
            </w:r>
            <w:r>
              <w:rPr>
                <w:rFonts w:hint="eastAsia" w:ascii="宋体" w:hAnsi="宋体" w:cs="宋体"/>
                <w:color w:val="auto"/>
                <w:kern w:val="0"/>
                <w:sz w:val="18"/>
                <w:szCs w:val="18"/>
                <w:highlight w:val="none"/>
                <w:lang w:bidi="ar"/>
              </w:rPr>
              <w:t>成像设备及结构组件防护等级：</w:t>
            </w:r>
            <w:r>
              <w:rPr>
                <w:rFonts w:hint="eastAsia" w:ascii="宋体" w:hAnsi="宋体" w:cs="宋体"/>
                <w:color w:val="auto"/>
                <w:kern w:val="0"/>
                <w:sz w:val="18"/>
                <w:szCs w:val="18"/>
                <w:highlight w:val="none"/>
                <w:lang w:val="en-US" w:eastAsia="zh-CN" w:bidi="ar"/>
              </w:rPr>
              <w:t>不低于</w:t>
            </w:r>
            <w:r>
              <w:rPr>
                <w:rFonts w:hint="eastAsia" w:ascii="宋体" w:hAnsi="宋体" w:cs="宋体"/>
                <w:color w:val="auto"/>
                <w:kern w:val="0"/>
                <w:sz w:val="18"/>
                <w:szCs w:val="18"/>
                <w:highlight w:val="none"/>
                <w:lang w:bidi="ar"/>
              </w:rPr>
              <w:t>IP68，适应水下1.2m持续</w:t>
            </w:r>
            <w:r>
              <w:rPr>
                <w:rFonts w:hint="eastAsia" w:ascii="宋体" w:hAnsi="宋体" w:cs="宋体"/>
                <w:color w:val="auto"/>
                <w:kern w:val="0"/>
                <w:sz w:val="18"/>
                <w:szCs w:val="18"/>
                <w:highlight w:val="none"/>
                <w:lang w:val="en-US" w:eastAsia="zh-CN" w:bidi="ar"/>
              </w:rPr>
              <w:t>时间不低于</w:t>
            </w:r>
            <w:r>
              <w:rPr>
                <w:rFonts w:hint="eastAsia" w:ascii="宋体" w:hAnsi="宋体" w:cs="宋体"/>
                <w:color w:val="auto"/>
                <w:kern w:val="0"/>
                <w:sz w:val="18"/>
                <w:szCs w:val="18"/>
                <w:highlight w:val="none"/>
                <w:lang w:bidi="ar"/>
              </w:rPr>
              <w:t>48小时；</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val="en-US" w:eastAsia="zh-CN" w:bidi="ar"/>
              </w:rPr>
              <w:t>9、</w:t>
            </w:r>
            <w:r>
              <w:rPr>
                <w:rFonts w:hint="eastAsia" w:ascii="宋体" w:hAnsi="宋体" w:cs="宋体"/>
                <w:color w:val="auto"/>
                <w:kern w:val="0"/>
                <w:sz w:val="18"/>
                <w:szCs w:val="18"/>
                <w:highlight w:val="none"/>
                <w:lang w:bidi="ar"/>
              </w:rPr>
              <w:t>底盘成像设备多重密封设计：防水、防尘、防潮、防霜、防雾、抗碾压；</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val="en-US" w:eastAsia="zh-CN" w:bidi="ar"/>
              </w:rPr>
              <w:t>10、</w:t>
            </w:r>
            <w:r>
              <w:rPr>
                <w:rFonts w:hint="eastAsia" w:ascii="宋体" w:hAnsi="宋体" w:cs="宋体"/>
                <w:color w:val="auto"/>
                <w:kern w:val="0"/>
                <w:sz w:val="18"/>
                <w:szCs w:val="18"/>
                <w:highlight w:val="none"/>
                <w:lang w:bidi="ar"/>
              </w:rPr>
              <w:t>照明组件：</w:t>
            </w:r>
            <w:r>
              <w:rPr>
                <w:rFonts w:hint="eastAsia" w:ascii="宋体" w:hAnsi="宋体" w:cs="宋体"/>
                <w:color w:val="auto"/>
                <w:kern w:val="0"/>
                <w:sz w:val="18"/>
                <w:szCs w:val="18"/>
                <w:highlight w:val="none"/>
                <w:lang w:val="en-US" w:eastAsia="zh-CN" w:bidi="ar"/>
              </w:rPr>
              <w:t>不少于</w:t>
            </w:r>
            <w:r>
              <w:rPr>
                <w:rFonts w:hint="eastAsia" w:ascii="宋体" w:hAnsi="宋体" w:cs="宋体"/>
                <w:color w:val="auto"/>
                <w:kern w:val="0"/>
                <w:sz w:val="18"/>
                <w:szCs w:val="18"/>
                <w:highlight w:val="none"/>
                <w:lang w:bidi="ar"/>
              </w:rPr>
              <w:t>4颗80W单体密封LED面光源；</w:t>
            </w:r>
            <w:r>
              <w:rPr>
                <w:rFonts w:hint="eastAsia" w:ascii="宋体" w:hAnsi="宋体" w:cs="宋体"/>
                <w:color w:val="auto"/>
                <w:kern w:val="0"/>
                <w:sz w:val="18"/>
                <w:szCs w:val="18"/>
                <w:highlight w:val="none"/>
                <w:lang w:val="en-US" w:eastAsia="zh-CN" w:bidi="ar"/>
              </w:rPr>
              <w:t>寿命不低于</w:t>
            </w:r>
            <w:r>
              <w:rPr>
                <w:rFonts w:hint="eastAsia" w:ascii="宋体" w:hAnsi="宋体" w:cs="宋体"/>
                <w:color w:val="auto"/>
                <w:kern w:val="0"/>
                <w:sz w:val="18"/>
                <w:szCs w:val="18"/>
                <w:highlight w:val="none"/>
                <w:lang w:bidi="ar"/>
              </w:rPr>
              <w:t>50000小时</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val="en-US" w:eastAsia="zh-CN" w:bidi="ar"/>
              </w:rPr>
              <w:t>11、</w:t>
            </w:r>
            <w:r>
              <w:rPr>
                <w:rFonts w:hint="eastAsia" w:ascii="宋体" w:hAnsi="宋体" w:cs="宋体"/>
                <w:color w:val="auto"/>
                <w:kern w:val="0"/>
                <w:sz w:val="18"/>
                <w:szCs w:val="18"/>
                <w:highlight w:val="none"/>
                <w:lang w:bidi="ar"/>
              </w:rPr>
              <w:t>底盘图像数据传输距离：≤100米</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1</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套</w:t>
            </w:r>
          </w:p>
        </w:tc>
      </w:tr>
      <w:tr>
        <w:tblPrEx>
          <w:tblCellMar>
            <w:top w:w="0" w:type="dxa"/>
            <w:left w:w="108" w:type="dxa"/>
            <w:bottom w:w="0" w:type="dxa"/>
            <w:right w:w="108" w:type="dxa"/>
          </w:tblCellMar>
        </w:tblPrEx>
        <w:trPr>
          <w:trHeight w:val="90"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color w:val="auto"/>
                <w:sz w:val="18"/>
                <w:szCs w:val="18"/>
                <w:highlight w:val="none"/>
                <w:lang w:val="en-US" w:eastAsia="zh-CN"/>
              </w:rPr>
            </w:pPr>
            <w:r>
              <w:rPr>
                <w:rFonts w:hint="eastAsia" w:ascii="宋体" w:hAnsi="宋体" w:cs="宋体"/>
                <w:color w:val="auto"/>
                <w:sz w:val="18"/>
                <w:szCs w:val="18"/>
                <w:highlight w:val="none"/>
                <w:lang w:val="en-US" w:eastAsia="zh-CN"/>
              </w:rPr>
              <w:t>3</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专用车底</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系统主机</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val="en-US" w:eastAsia="zh-CN" w:bidi="ar"/>
              </w:rPr>
              <w:t>1、</w:t>
            </w:r>
            <w:r>
              <w:rPr>
                <w:rFonts w:hint="eastAsia" w:ascii="宋体" w:hAnsi="宋体" w:cs="宋体"/>
                <w:color w:val="auto"/>
                <w:kern w:val="0"/>
                <w:sz w:val="18"/>
                <w:szCs w:val="18"/>
                <w:highlight w:val="none"/>
                <w:lang w:bidi="ar"/>
              </w:rPr>
              <w:t>机箱：定制；</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val="en-US" w:eastAsia="zh-CN" w:bidi="ar"/>
              </w:rPr>
              <w:t>2、</w:t>
            </w:r>
            <w:r>
              <w:rPr>
                <w:rFonts w:hint="eastAsia" w:ascii="宋体" w:hAnsi="宋体" w:cs="宋体"/>
                <w:color w:val="auto"/>
                <w:kern w:val="0"/>
                <w:sz w:val="18"/>
                <w:szCs w:val="18"/>
                <w:highlight w:val="none"/>
                <w:lang w:bidi="ar"/>
              </w:rPr>
              <w:t>电源：250WATX电源（AC100~240V自适应)；</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val="en-US" w:eastAsia="zh-CN" w:bidi="ar"/>
              </w:rPr>
              <w:t>3、</w:t>
            </w:r>
            <w:r>
              <w:rPr>
                <w:rFonts w:hint="eastAsia" w:ascii="宋体" w:hAnsi="宋体" w:cs="宋体"/>
                <w:color w:val="auto"/>
                <w:kern w:val="0"/>
                <w:sz w:val="18"/>
                <w:szCs w:val="18"/>
                <w:highlight w:val="none"/>
                <w:lang w:bidi="ar"/>
              </w:rPr>
              <w:t>CPU：</w:t>
            </w:r>
            <w:r>
              <w:rPr>
                <w:rFonts w:hint="eastAsia" w:ascii="宋体" w:hAnsi="宋体" w:cs="宋体"/>
                <w:color w:val="auto"/>
                <w:kern w:val="0"/>
                <w:sz w:val="18"/>
                <w:szCs w:val="18"/>
                <w:highlight w:val="none"/>
                <w:lang w:val="en-US" w:eastAsia="zh-CN" w:bidi="ar"/>
              </w:rPr>
              <w:t>不低于</w:t>
            </w:r>
            <w:r>
              <w:rPr>
                <w:rFonts w:hint="eastAsia" w:ascii="宋体" w:hAnsi="宋体" w:cs="宋体"/>
                <w:color w:val="auto"/>
                <w:kern w:val="0"/>
                <w:sz w:val="18"/>
                <w:szCs w:val="18"/>
                <w:highlight w:val="none"/>
                <w:lang w:bidi="ar"/>
              </w:rPr>
              <w:t xml:space="preserve"> I5-4570，主频3.2GHZ，4核 ，4线程；</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val="en-US" w:eastAsia="zh-CN" w:bidi="ar"/>
              </w:rPr>
              <w:t>4、</w:t>
            </w:r>
            <w:r>
              <w:rPr>
                <w:rFonts w:hint="eastAsia" w:ascii="宋体" w:hAnsi="宋体" w:cs="宋体"/>
                <w:color w:val="auto"/>
                <w:kern w:val="0"/>
                <w:sz w:val="18"/>
                <w:szCs w:val="18"/>
                <w:highlight w:val="none"/>
                <w:lang w:bidi="ar"/>
              </w:rPr>
              <w:t>内存：8GB DDR3L工业级内存；</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val="en-US" w:eastAsia="zh-CN" w:bidi="ar"/>
              </w:rPr>
              <w:t>5、不低于</w:t>
            </w:r>
            <w:r>
              <w:rPr>
                <w:rFonts w:hint="eastAsia" w:ascii="宋体" w:hAnsi="宋体" w:cs="宋体"/>
                <w:color w:val="auto"/>
                <w:kern w:val="0"/>
                <w:sz w:val="18"/>
                <w:szCs w:val="18"/>
                <w:highlight w:val="none"/>
                <w:lang w:bidi="ar"/>
              </w:rPr>
              <w:t>128G SSD 硬盘：1TB HDD；</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val="en-US" w:eastAsia="zh-CN" w:bidi="ar"/>
              </w:rPr>
              <w:t>6、</w:t>
            </w:r>
            <w:r>
              <w:rPr>
                <w:rFonts w:hint="eastAsia" w:ascii="宋体" w:hAnsi="宋体" w:cs="宋体"/>
                <w:color w:val="auto"/>
                <w:kern w:val="0"/>
                <w:sz w:val="18"/>
                <w:szCs w:val="18"/>
                <w:highlight w:val="none"/>
                <w:lang w:bidi="ar"/>
              </w:rPr>
              <w:t>串口：RS232*2；</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val="en-US" w:eastAsia="zh-CN" w:bidi="ar"/>
              </w:rPr>
              <w:t>7、</w:t>
            </w:r>
            <w:r>
              <w:rPr>
                <w:rFonts w:hint="eastAsia" w:ascii="宋体" w:hAnsi="宋体" w:cs="宋体"/>
                <w:color w:val="auto"/>
                <w:kern w:val="0"/>
                <w:sz w:val="18"/>
                <w:szCs w:val="18"/>
                <w:highlight w:val="none"/>
                <w:lang w:bidi="ar"/>
              </w:rPr>
              <w:t>网口：2*10/100/1000M 自适应网口，1*10/100网口；</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val="en-US" w:eastAsia="zh-CN" w:bidi="ar"/>
              </w:rPr>
              <w:t>8、</w:t>
            </w:r>
            <w:r>
              <w:rPr>
                <w:rFonts w:hint="eastAsia" w:ascii="宋体" w:hAnsi="宋体" w:cs="宋体"/>
                <w:color w:val="auto"/>
                <w:kern w:val="0"/>
                <w:sz w:val="18"/>
                <w:szCs w:val="18"/>
                <w:highlight w:val="none"/>
                <w:lang w:bidi="ar"/>
              </w:rPr>
              <w:t>USB：</w:t>
            </w:r>
            <w:r>
              <w:rPr>
                <w:rFonts w:hint="eastAsia" w:ascii="宋体" w:hAnsi="宋体" w:cs="宋体"/>
                <w:color w:val="auto"/>
                <w:kern w:val="0"/>
                <w:sz w:val="18"/>
                <w:szCs w:val="18"/>
                <w:highlight w:val="none"/>
                <w:lang w:val="en-US" w:eastAsia="zh-CN" w:bidi="ar"/>
              </w:rPr>
              <w:t>包括但不限于</w:t>
            </w:r>
            <w:r>
              <w:rPr>
                <w:rFonts w:hint="eastAsia" w:ascii="宋体" w:hAnsi="宋体" w:cs="宋体"/>
                <w:color w:val="auto"/>
                <w:kern w:val="0"/>
                <w:sz w:val="18"/>
                <w:szCs w:val="18"/>
                <w:highlight w:val="none"/>
                <w:lang w:bidi="ar"/>
              </w:rPr>
              <w:t>6*USB Port；</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val="en-US" w:eastAsia="zh-CN" w:bidi="ar"/>
              </w:rPr>
              <w:t>9、</w:t>
            </w:r>
            <w:r>
              <w:rPr>
                <w:rFonts w:hint="eastAsia" w:ascii="宋体" w:hAnsi="宋体" w:cs="宋体"/>
                <w:color w:val="auto"/>
                <w:kern w:val="0"/>
                <w:sz w:val="18"/>
                <w:szCs w:val="18"/>
                <w:highlight w:val="none"/>
                <w:lang w:bidi="ar"/>
              </w:rPr>
              <w:t>显示：VGA&amp;HDMIDVI-D；</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val="en-US" w:eastAsia="zh-CN" w:bidi="ar"/>
              </w:rPr>
              <w:t>10、</w:t>
            </w:r>
            <w:r>
              <w:rPr>
                <w:rFonts w:hint="eastAsia" w:ascii="宋体" w:hAnsi="宋体" w:cs="宋体"/>
                <w:color w:val="auto"/>
                <w:kern w:val="0"/>
                <w:sz w:val="18"/>
                <w:szCs w:val="18"/>
                <w:highlight w:val="none"/>
                <w:lang w:bidi="ar"/>
              </w:rPr>
              <w:t>OS：WIN7 64BIT 专业系统 ；</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1</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台</w:t>
            </w:r>
          </w:p>
        </w:tc>
      </w:tr>
      <w:tr>
        <w:tblPrEx>
          <w:tblCellMar>
            <w:top w:w="0" w:type="dxa"/>
            <w:left w:w="108" w:type="dxa"/>
            <w:bottom w:w="0" w:type="dxa"/>
            <w:right w:w="108" w:type="dxa"/>
          </w:tblCellMar>
        </w:tblPrEx>
        <w:trPr>
          <w:trHeight w:val="90"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color w:val="auto"/>
                <w:sz w:val="18"/>
                <w:szCs w:val="18"/>
                <w:highlight w:val="none"/>
                <w:lang w:val="en-US" w:eastAsia="zh-CN"/>
              </w:rPr>
            </w:pPr>
            <w:r>
              <w:rPr>
                <w:rFonts w:hint="eastAsia" w:ascii="宋体" w:hAnsi="宋体" w:cs="宋体"/>
                <w:color w:val="auto"/>
                <w:sz w:val="18"/>
                <w:szCs w:val="18"/>
                <w:highlight w:val="none"/>
                <w:lang w:val="en-US" w:eastAsia="zh-CN"/>
              </w:rPr>
              <w:t>4</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22寸</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液晶显示器</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1</w:t>
            </w:r>
            <w:r>
              <w:rPr>
                <w:rFonts w:hint="eastAsia" w:ascii="宋体" w:hAnsi="宋体" w:cs="宋体"/>
                <w:color w:val="auto"/>
                <w:kern w:val="0"/>
                <w:sz w:val="18"/>
                <w:szCs w:val="18"/>
                <w:highlight w:val="none"/>
                <w:lang w:eastAsia="zh-CN" w:bidi="ar"/>
              </w:rPr>
              <w:t>、</w:t>
            </w:r>
            <w:r>
              <w:rPr>
                <w:rFonts w:hint="eastAsia" w:ascii="宋体" w:hAnsi="宋体" w:cs="宋体"/>
                <w:color w:val="auto"/>
                <w:kern w:val="0"/>
                <w:sz w:val="18"/>
                <w:szCs w:val="18"/>
                <w:highlight w:val="none"/>
                <w:lang w:bidi="ar"/>
              </w:rPr>
              <w:t>显示器：22寸真彩液晶显示器，</w:t>
            </w:r>
            <w:r>
              <w:rPr>
                <w:rFonts w:hint="eastAsia" w:ascii="宋体" w:hAnsi="宋体" w:cs="宋体"/>
                <w:color w:val="auto"/>
                <w:kern w:val="0"/>
                <w:sz w:val="18"/>
                <w:szCs w:val="18"/>
                <w:highlight w:val="none"/>
                <w:lang w:val="en-US" w:eastAsia="zh-CN" w:bidi="ar"/>
              </w:rPr>
              <w:t>不低于</w:t>
            </w:r>
            <w:r>
              <w:rPr>
                <w:rFonts w:hint="eastAsia" w:ascii="宋体" w:hAnsi="宋体" w:cs="宋体"/>
                <w:color w:val="auto"/>
                <w:kern w:val="0"/>
                <w:sz w:val="18"/>
                <w:szCs w:val="18"/>
                <w:highlight w:val="none"/>
                <w:lang w:bidi="ar"/>
              </w:rPr>
              <w:t>分辨率1920*1080</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1</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台</w:t>
            </w:r>
          </w:p>
        </w:tc>
      </w:tr>
      <w:tr>
        <w:tblPrEx>
          <w:tblCellMar>
            <w:top w:w="0" w:type="dxa"/>
            <w:left w:w="108" w:type="dxa"/>
            <w:bottom w:w="0" w:type="dxa"/>
            <w:right w:w="108" w:type="dxa"/>
          </w:tblCellMar>
        </w:tblPrEx>
        <w:trPr>
          <w:trHeight w:val="90"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color w:val="auto"/>
                <w:sz w:val="18"/>
                <w:szCs w:val="18"/>
                <w:highlight w:val="none"/>
                <w:lang w:val="en-US" w:eastAsia="zh-CN"/>
              </w:rPr>
            </w:pPr>
            <w:r>
              <w:rPr>
                <w:rFonts w:hint="eastAsia" w:ascii="宋体" w:hAnsi="宋体" w:cs="宋体"/>
                <w:color w:val="auto"/>
                <w:sz w:val="18"/>
                <w:szCs w:val="18"/>
                <w:highlight w:val="none"/>
                <w:lang w:val="en-US" w:eastAsia="zh-CN"/>
              </w:rPr>
              <w:t>5</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车牌识别摄像机</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1、最大分辨率1920*1080，标配1路车牌识别模块，可以选配扩展到2路或多路；</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2、车牌识别率：白天100% ，夜间99.8%</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 xml:space="preserve">3、平均识别时间：&lt;20ms； </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4、单字符识别准确率 ：≥99.5%；</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5、车牌图像允许水平倾斜角度：-10 ~ +10 度；</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6、字符（汉字除外）识别准确率：≥99.5%</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7、视频信噪比＞47db</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2</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台</w:t>
            </w:r>
          </w:p>
        </w:tc>
      </w:tr>
      <w:tr>
        <w:tblPrEx>
          <w:tblCellMar>
            <w:top w:w="0" w:type="dxa"/>
            <w:left w:w="108" w:type="dxa"/>
            <w:bottom w:w="0" w:type="dxa"/>
            <w:right w:w="108" w:type="dxa"/>
          </w:tblCellMar>
        </w:tblPrEx>
        <w:trPr>
          <w:trHeight w:val="90"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color w:val="auto"/>
                <w:sz w:val="18"/>
                <w:szCs w:val="18"/>
                <w:highlight w:val="none"/>
                <w:lang w:val="en-US" w:eastAsia="zh-CN"/>
              </w:rPr>
            </w:pPr>
            <w:r>
              <w:rPr>
                <w:rFonts w:hint="eastAsia" w:ascii="宋体" w:hAnsi="宋体" w:cs="宋体"/>
                <w:color w:val="auto"/>
                <w:sz w:val="18"/>
                <w:szCs w:val="18"/>
                <w:highlight w:val="none"/>
                <w:lang w:val="en-US" w:eastAsia="zh-CN"/>
              </w:rPr>
              <w:t>6</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智能控制箱</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numPr>
                <w:ilvl w:val="0"/>
                <w:numId w:val="5"/>
              </w:numPr>
              <w:textAlignment w:val="center"/>
              <w:rPr>
                <w:rFonts w:hint="eastAsia"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控制系统：防尘防水防护等级≥IP66</w:t>
            </w:r>
          </w:p>
          <w:p>
            <w:pPr>
              <w:widowControl/>
              <w:numPr>
                <w:ilvl w:val="0"/>
                <w:numId w:val="5"/>
              </w:numP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当电路电流过大、或欠压时设备应具有自动断电，电压恢复后自动合闸功能。</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3、输出：8*2路，可联动控制如限速标志灯光闪烁、滚动LED屏显示、自动语音播放、地面引导灯光频闪、车牌识别及扫描仪辅助照明打开或关闭、路障机、防撞墙、道闸等各辅助设备开关；</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4、内置智能交通车检器模块，可支持同时外接四个线圈，支持外部振荡电路频率四级可调，检测响应速度快，支持RS485输出触发信号，支持LED状态指示功能，支持拨码开关配置参数功能，适应大小车型，捕获率 ≥99.9%，车检器支持自动调谐功能，响应时间&lt;20ms，每个通道的灵敏度可以分别进行调节，八级可调；</w:t>
            </w:r>
            <w:r>
              <w:rPr>
                <w:rFonts w:hint="eastAsia" w:ascii="宋体" w:hAnsi="宋体" w:cs="宋体"/>
                <w:color w:val="auto"/>
                <w:kern w:val="0"/>
                <w:sz w:val="18"/>
                <w:szCs w:val="18"/>
                <w:highlight w:val="none"/>
                <w:lang w:bidi="ar"/>
              </w:rPr>
              <w:br w:type="textWrapping"/>
            </w:r>
            <w:r>
              <w:rPr>
                <w:rFonts w:ascii="宋体" w:hAnsi="宋体" w:cs="宋体"/>
                <w:color w:val="auto"/>
                <w:kern w:val="0"/>
                <w:sz w:val="18"/>
                <w:szCs w:val="18"/>
                <w:highlight w:val="none"/>
                <w:lang w:bidi="ar"/>
              </w:rPr>
              <w:t>5</w:t>
            </w:r>
            <w:r>
              <w:rPr>
                <w:rFonts w:hint="eastAsia" w:ascii="宋体" w:hAnsi="宋体" w:cs="宋体"/>
                <w:color w:val="auto"/>
                <w:kern w:val="0"/>
                <w:sz w:val="18"/>
                <w:szCs w:val="18"/>
                <w:highlight w:val="none"/>
                <w:lang w:bidi="ar"/>
              </w:rPr>
              <w:t>、通过外接车辆引导器可自动控制红绿灯及LED屏等信息进行交通引导；</w:t>
            </w:r>
            <w:r>
              <w:rPr>
                <w:rFonts w:hint="eastAsia" w:ascii="宋体" w:hAnsi="宋体" w:cs="宋体"/>
                <w:color w:val="auto"/>
                <w:kern w:val="0"/>
                <w:sz w:val="18"/>
                <w:szCs w:val="18"/>
                <w:highlight w:val="none"/>
                <w:lang w:bidi="ar"/>
              </w:rPr>
              <w:br w:type="textWrapping"/>
            </w:r>
            <w:r>
              <w:rPr>
                <w:rFonts w:ascii="宋体" w:hAnsi="宋体" w:cs="宋体"/>
                <w:color w:val="auto"/>
                <w:kern w:val="0"/>
                <w:sz w:val="18"/>
                <w:szCs w:val="18"/>
                <w:highlight w:val="none"/>
                <w:lang w:bidi="ar"/>
              </w:rPr>
              <w:t>6</w:t>
            </w:r>
            <w:r>
              <w:rPr>
                <w:rFonts w:hint="eastAsia" w:ascii="宋体" w:hAnsi="宋体" w:cs="宋体"/>
                <w:color w:val="auto"/>
                <w:kern w:val="0"/>
                <w:sz w:val="18"/>
                <w:szCs w:val="18"/>
                <w:highlight w:val="none"/>
                <w:lang w:bidi="ar"/>
              </w:rPr>
              <w:t>、提供系统各设备供电AC220V、AC24V、DC12V等多种工作电源分路供电同时进行分离防雷电浪涌及负载自动控制保护；</w:t>
            </w:r>
            <w:r>
              <w:rPr>
                <w:rFonts w:hint="eastAsia" w:ascii="宋体" w:hAnsi="宋体" w:cs="宋体"/>
                <w:color w:val="auto"/>
                <w:kern w:val="0"/>
                <w:sz w:val="18"/>
                <w:szCs w:val="18"/>
                <w:highlight w:val="none"/>
                <w:lang w:bidi="ar"/>
              </w:rPr>
              <w:br w:type="textWrapping"/>
            </w:r>
            <w:r>
              <w:rPr>
                <w:rFonts w:ascii="宋体" w:hAnsi="宋体" w:cs="宋体"/>
                <w:color w:val="auto"/>
                <w:kern w:val="0"/>
                <w:sz w:val="18"/>
                <w:szCs w:val="18"/>
                <w:highlight w:val="none"/>
                <w:lang w:bidi="ar"/>
              </w:rPr>
              <w:t>7</w:t>
            </w:r>
            <w:r>
              <w:rPr>
                <w:rFonts w:hint="eastAsia" w:ascii="宋体" w:hAnsi="宋体" w:cs="宋体"/>
                <w:color w:val="auto"/>
                <w:kern w:val="0"/>
                <w:sz w:val="18"/>
                <w:szCs w:val="18"/>
                <w:highlight w:val="none"/>
                <w:lang w:bidi="ar"/>
              </w:rPr>
              <w:t>、工作温度：-20°-70°；工作电压：AC220V  3A 。</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1</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台</w:t>
            </w:r>
          </w:p>
        </w:tc>
      </w:tr>
      <w:tr>
        <w:tblPrEx>
          <w:tblCellMar>
            <w:top w:w="0" w:type="dxa"/>
            <w:left w:w="108" w:type="dxa"/>
            <w:bottom w:w="0" w:type="dxa"/>
            <w:right w:w="108" w:type="dxa"/>
          </w:tblCellMar>
        </w:tblPrEx>
        <w:trPr>
          <w:trHeight w:val="90"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b/>
                <w:bCs/>
                <w:color w:val="auto"/>
                <w:sz w:val="18"/>
                <w:szCs w:val="18"/>
                <w:highlight w:val="none"/>
              </w:rPr>
            </w:pPr>
            <w:r>
              <w:rPr>
                <w:rFonts w:hint="eastAsia" w:ascii="宋体" w:hAnsi="宋体" w:cs="宋体"/>
                <w:b/>
                <w:bCs/>
                <w:color w:val="auto"/>
                <w:kern w:val="0"/>
                <w:sz w:val="18"/>
                <w:szCs w:val="18"/>
                <w:highlight w:val="none"/>
                <w:lang w:bidi="ar"/>
              </w:rPr>
              <w:t>三、</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b/>
                <w:bCs/>
                <w:color w:val="auto"/>
                <w:sz w:val="18"/>
                <w:szCs w:val="18"/>
                <w:highlight w:val="none"/>
              </w:rPr>
            </w:pPr>
            <w:r>
              <w:rPr>
                <w:rFonts w:hint="eastAsia" w:ascii="宋体" w:hAnsi="宋体" w:cs="宋体"/>
                <w:b/>
                <w:bCs/>
                <w:color w:val="auto"/>
                <w:kern w:val="0"/>
                <w:sz w:val="18"/>
                <w:szCs w:val="18"/>
                <w:highlight w:val="none"/>
                <w:lang w:bidi="ar"/>
              </w:rPr>
              <w:t>AB门车行通道监控</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s="宋体"/>
                <w:b/>
                <w:bCs/>
                <w:color w:val="auto"/>
                <w:sz w:val="18"/>
                <w:szCs w:val="18"/>
                <w:highlight w:val="none"/>
              </w:rPr>
            </w:pP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s="宋体"/>
                <w:b/>
                <w:bCs/>
                <w:color w:val="auto"/>
                <w:sz w:val="18"/>
                <w:szCs w:val="18"/>
                <w:highlight w:val="none"/>
              </w:rPr>
            </w:pP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s="宋体"/>
                <w:b/>
                <w:bCs/>
                <w:color w:val="auto"/>
                <w:sz w:val="18"/>
                <w:szCs w:val="18"/>
                <w:highlight w:val="none"/>
              </w:rPr>
            </w:pPr>
          </w:p>
        </w:tc>
      </w:tr>
      <w:tr>
        <w:tblPrEx>
          <w:tblCellMar>
            <w:top w:w="0" w:type="dxa"/>
            <w:left w:w="108" w:type="dxa"/>
            <w:bottom w:w="0" w:type="dxa"/>
            <w:right w:w="108" w:type="dxa"/>
          </w:tblCellMar>
        </w:tblPrEx>
        <w:trPr>
          <w:trHeight w:val="90"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1</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球型网络摄像机</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传感器靶面:1/1.8"</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像素:</w:t>
            </w:r>
            <w:r>
              <w:rPr>
                <w:rFonts w:hint="eastAsia" w:ascii="宋体" w:hAnsi="宋体" w:cs="宋体"/>
                <w:color w:val="auto"/>
                <w:kern w:val="0"/>
                <w:sz w:val="18"/>
                <w:szCs w:val="18"/>
                <w:highlight w:val="none"/>
                <w:lang w:val="en-US" w:eastAsia="zh-CN" w:bidi="ar"/>
              </w:rPr>
              <w:t>≥</w:t>
            </w:r>
            <w:r>
              <w:rPr>
                <w:rFonts w:hint="eastAsia" w:ascii="宋体" w:hAnsi="宋体" w:cs="宋体"/>
                <w:color w:val="auto"/>
                <w:kern w:val="0"/>
                <w:sz w:val="18"/>
                <w:szCs w:val="18"/>
                <w:highlight w:val="none"/>
                <w:lang w:bidi="ar"/>
              </w:rPr>
              <w:t>400万</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最高分辨率:</w:t>
            </w:r>
            <w:r>
              <w:rPr>
                <w:rFonts w:hint="eastAsia" w:ascii="宋体" w:hAnsi="宋体" w:cs="宋体"/>
                <w:color w:val="auto"/>
                <w:kern w:val="0"/>
                <w:sz w:val="18"/>
                <w:szCs w:val="18"/>
                <w:highlight w:val="none"/>
                <w:lang w:val="en-US" w:eastAsia="zh-CN" w:bidi="ar"/>
              </w:rPr>
              <w:t>不低于</w:t>
            </w:r>
            <w:r>
              <w:rPr>
                <w:rFonts w:hint="eastAsia" w:ascii="宋体" w:hAnsi="宋体" w:cs="宋体"/>
                <w:color w:val="auto"/>
                <w:kern w:val="0"/>
                <w:sz w:val="18"/>
                <w:szCs w:val="18"/>
                <w:highlight w:val="none"/>
                <w:lang w:bidi="ar"/>
              </w:rPr>
              <w:t>2688*1520</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最低照度:0.0003lux(F1.2，AGC ON，彩色)，</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0.0001lux(F1.2，AGC ON，黑白)</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补光模式:红外补光</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补光距离:</w:t>
            </w:r>
            <w:r>
              <w:rPr>
                <w:rFonts w:hint="eastAsia" w:ascii="宋体" w:hAnsi="宋体" w:cs="宋体"/>
                <w:color w:val="auto"/>
                <w:kern w:val="0"/>
                <w:sz w:val="18"/>
                <w:szCs w:val="18"/>
                <w:highlight w:val="none"/>
                <w:lang w:val="en-US" w:eastAsia="zh-CN" w:bidi="ar"/>
              </w:rPr>
              <w:t>≥</w:t>
            </w:r>
            <w:r>
              <w:rPr>
                <w:rFonts w:hint="eastAsia" w:ascii="宋体" w:hAnsi="宋体" w:cs="宋体"/>
                <w:color w:val="auto"/>
                <w:kern w:val="0"/>
                <w:sz w:val="18"/>
                <w:szCs w:val="18"/>
                <w:highlight w:val="none"/>
                <w:lang w:bidi="ar"/>
              </w:rPr>
              <w:t>250m</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最高帧率:</w:t>
            </w:r>
            <w:r>
              <w:rPr>
                <w:rFonts w:hint="eastAsia" w:ascii="宋体" w:hAnsi="宋体" w:cs="宋体"/>
                <w:color w:val="auto"/>
                <w:kern w:val="0"/>
                <w:sz w:val="18"/>
                <w:szCs w:val="18"/>
                <w:highlight w:val="none"/>
                <w:lang w:val="en-US" w:eastAsia="zh-CN" w:bidi="ar"/>
              </w:rPr>
              <w:t>≥</w:t>
            </w:r>
            <w:r>
              <w:rPr>
                <w:rFonts w:hint="eastAsia" w:ascii="宋体" w:hAnsi="宋体" w:cs="宋体"/>
                <w:color w:val="auto"/>
                <w:kern w:val="0"/>
                <w:sz w:val="18"/>
                <w:szCs w:val="18"/>
                <w:highlight w:val="none"/>
                <w:lang w:bidi="ar"/>
              </w:rPr>
              <w:t>60帧</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人体属性—人脸检测:性别|年龄段|戴口罩|上衣颜色|下衣颜色|上衣款式|下衣款式|上衣纹理|携包|身姿|鞋子|发型|移动方向</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电子罗盘:支持</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混行检测:支持机动车、非机动车、行人、人脸检测抓拍及布防；</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支持机动车、非机动车、行人、人脸属性提取；</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机动车属性：车牌号码、车辆类型、车身颜色、车辆品牌、行驶方向、行驶速度、车牌颜色、车牌种类；</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非机动车属性：性别、年龄段、上衣颜色、上衣款式、行驶方向、行驶速度、驾驶类型、车牌号码、车牌颜色、车辆种类；</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行人属性：性别、年龄段、戴口罩、上衣颜色、下衣颜色、上衣款式、下衣款式、上衣纹理、携包、身姿、鞋子、发型、移动方向；</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人脸属性：性别、年龄段、戴眼镜；</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人脸比对:支持16个人脸库；</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支持100000个人脸库库容；</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支持人脸库添加、删除、修改，支持人脸库数据通过模板批量导入；</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人数统计:人流量统计：支持总人数、进入人数、离开人数统计，支持滞留人数告警设置，支持人数统计清零；</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人员密度检测：支持人员密度三级报警</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透雾:光学透雾</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风扇/散热:支持</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加热:支持</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防抖:支持(陀螺仪防抖)</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2</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台</w:t>
            </w:r>
          </w:p>
        </w:tc>
      </w:tr>
      <w:tr>
        <w:tblPrEx>
          <w:tblCellMar>
            <w:top w:w="0" w:type="dxa"/>
            <w:left w:w="108" w:type="dxa"/>
            <w:bottom w:w="0" w:type="dxa"/>
            <w:right w:w="108" w:type="dxa"/>
          </w:tblCellMar>
        </w:tblPrEx>
        <w:trPr>
          <w:trHeight w:val="90"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2</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球机壁装支架</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材质:铝合金</w:t>
            </w:r>
            <w:r>
              <w:rPr>
                <w:rFonts w:hint="eastAsia" w:ascii="宋体" w:hAnsi="宋体" w:cs="宋体"/>
                <w:color w:val="auto"/>
                <w:kern w:val="0"/>
                <w:sz w:val="18"/>
                <w:szCs w:val="18"/>
                <w:highlight w:val="none"/>
                <w:lang w:bidi="ar"/>
              </w:rPr>
              <w:br w:type="textWrapping"/>
            </w:r>
            <w:r>
              <w:rPr>
                <w:rFonts w:hint="eastAsia" w:ascii="宋体" w:hAnsi="宋体" w:cs="宋体"/>
                <w:color w:val="auto"/>
                <w:kern w:val="0"/>
                <w:sz w:val="18"/>
                <w:szCs w:val="18"/>
                <w:highlight w:val="none"/>
                <w:lang w:bidi="ar"/>
              </w:rPr>
              <w:t>使用范围:8寸球机，与球机接线盒、角装、柱装支架均能组合应用</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2</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个</w:t>
            </w:r>
          </w:p>
        </w:tc>
      </w:tr>
      <w:tr>
        <w:tblPrEx>
          <w:tblCellMar>
            <w:top w:w="0" w:type="dxa"/>
            <w:left w:w="108" w:type="dxa"/>
            <w:bottom w:w="0" w:type="dxa"/>
            <w:right w:w="108" w:type="dxa"/>
          </w:tblCellMar>
        </w:tblPrEx>
        <w:trPr>
          <w:trHeight w:val="90"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b/>
                <w:bCs/>
                <w:color w:val="auto"/>
                <w:sz w:val="18"/>
                <w:szCs w:val="18"/>
                <w:highlight w:val="none"/>
              </w:rPr>
            </w:pPr>
            <w:r>
              <w:rPr>
                <w:rFonts w:hint="eastAsia" w:ascii="宋体" w:hAnsi="宋体" w:cs="宋体"/>
                <w:b/>
                <w:bCs/>
                <w:color w:val="auto"/>
                <w:sz w:val="18"/>
                <w:szCs w:val="18"/>
                <w:highlight w:val="none"/>
              </w:rPr>
              <w:t>四</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b/>
                <w:bCs/>
                <w:color w:val="auto"/>
                <w:sz w:val="18"/>
                <w:szCs w:val="18"/>
                <w:highlight w:val="none"/>
              </w:rPr>
            </w:pPr>
            <w:r>
              <w:rPr>
                <w:rFonts w:hint="eastAsia" w:ascii="宋体" w:hAnsi="宋体" w:cs="宋体"/>
                <w:b/>
                <w:bCs/>
                <w:color w:val="auto"/>
                <w:kern w:val="0"/>
                <w:sz w:val="18"/>
                <w:szCs w:val="18"/>
                <w:highlight w:val="none"/>
                <w:lang w:bidi="ar"/>
              </w:rPr>
              <w:t>缓冲区大门（C门）</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b/>
                <w:bCs/>
                <w:color w:val="auto"/>
                <w:sz w:val="18"/>
                <w:szCs w:val="18"/>
                <w:highlight w:val="none"/>
              </w:rPr>
            </w:pP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b/>
                <w:bCs/>
                <w:color w:val="auto"/>
                <w:sz w:val="18"/>
                <w:szCs w:val="18"/>
                <w:highlight w:val="none"/>
              </w:rPr>
            </w:pP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b/>
                <w:bCs/>
                <w:color w:val="auto"/>
                <w:sz w:val="18"/>
                <w:szCs w:val="18"/>
                <w:highlight w:val="none"/>
              </w:rPr>
            </w:pPr>
          </w:p>
        </w:tc>
      </w:tr>
      <w:tr>
        <w:tblPrEx>
          <w:tblCellMar>
            <w:top w:w="0" w:type="dxa"/>
            <w:left w:w="108" w:type="dxa"/>
            <w:bottom w:w="0" w:type="dxa"/>
            <w:right w:w="108" w:type="dxa"/>
          </w:tblCellMar>
        </w:tblPrEx>
        <w:trPr>
          <w:trHeight w:val="437"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s="宋体"/>
                <w:color w:val="auto"/>
                <w:sz w:val="18"/>
                <w:szCs w:val="18"/>
                <w:highlight w:val="none"/>
              </w:rPr>
            </w:pPr>
            <w:r>
              <w:rPr>
                <w:rFonts w:hint="eastAsia" w:ascii="宋体" w:hAnsi="宋体" w:cs="宋体"/>
                <w:color w:val="auto"/>
                <w:sz w:val="18"/>
                <w:szCs w:val="18"/>
                <w:highlight w:val="none"/>
              </w:rPr>
              <w:t>1</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刺网</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1、5mm丝塑性，2、对丝进行拼接焊，3、焊接防攀爬倒刺。4、清理焊点并且整体电镀（银色）处理。</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330</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平米</w:t>
            </w:r>
          </w:p>
        </w:tc>
      </w:tr>
      <w:tr>
        <w:tblPrEx>
          <w:tblCellMar>
            <w:top w:w="0" w:type="dxa"/>
            <w:left w:w="108" w:type="dxa"/>
            <w:bottom w:w="0" w:type="dxa"/>
            <w:right w:w="108" w:type="dxa"/>
          </w:tblCellMar>
        </w:tblPrEx>
        <w:trPr>
          <w:trHeight w:val="369"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s="宋体"/>
                <w:b/>
                <w:bCs/>
                <w:color w:val="auto"/>
                <w:sz w:val="18"/>
                <w:szCs w:val="18"/>
                <w:highlight w:val="none"/>
              </w:rPr>
            </w:pPr>
            <w:r>
              <w:rPr>
                <w:rFonts w:hint="eastAsia" w:ascii="宋体" w:hAnsi="宋体" w:cs="宋体"/>
                <w:color w:val="auto"/>
                <w:sz w:val="18"/>
                <w:szCs w:val="18"/>
                <w:highlight w:val="none"/>
              </w:rPr>
              <w:t>2</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tabs>
                <w:tab w:val="left" w:pos="527"/>
              </w:tabs>
              <w:textAlignment w:val="center"/>
              <w:rPr>
                <w:rFonts w:ascii="宋体" w:hAnsi="宋体" w:cs="宋体"/>
                <w:b/>
                <w:bCs/>
                <w:color w:val="auto"/>
                <w:sz w:val="18"/>
                <w:szCs w:val="18"/>
                <w:highlight w:val="none"/>
              </w:rPr>
            </w:pPr>
            <w:r>
              <w:rPr>
                <w:rFonts w:hint="eastAsia" w:ascii="宋体" w:hAnsi="宋体" w:cs="宋体"/>
                <w:color w:val="auto"/>
                <w:kern w:val="0"/>
                <w:sz w:val="18"/>
                <w:szCs w:val="18"/>
                <w:highlight w:val="none"/>
                <w:lang w:bidi="ar"/>
              </w:rPr>
              <w:tab/>
            </w:r>
            <w:r>
              <w:rPr>
                <w:rFonts w:hint="eastAsia" w:ascii="宋体" w:hAnsi="宋体" w:cs="宋体"/>
                <w:color w:val="auto"/>
                <w:kern w:val="0"/>
                <w:sz w:val="18"/>
                <w:szCs w:val="18"/>
                <w:highlight w:val="none"/>
                <w:lang w:bidi="ar"/>
              </w:rPr>
              <w:t>刀片网</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b/>
                <w:bCs/>
                <w:color w:val="auto"/>
                <w:sz w:val="18"/>
                <w:szCs w:val="18"/>
                <w:highlight w:val="none"/>
              </w:rPr>
            </w:pPr>
            <w:r>
              <w:rPr>
                <w:rFonts w:hint="eastAsia" w:ascii="宋体" w:hAnsi="宋体" w:cs="宋体"/>
                <w:color w:val="auto"/>
                <w:kern w:val="0"/>
                <w:sz w:val="18"/>
                <w:szCs w:val="18"/>
                <w:highlight w:val="none"/>
                <w:lang w:bidi="ar"/>
              </w:rPr>
              <w:t>1、成品刀片网。2、架设刀片网。</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b/>
                <w:bCs/>
                <w:color w:val="auto"/>
                <w:sz w:val="18"/>
                <w:szCs w:val="18"/>
                <w:highlight w:val="none"/>
              </w:rPr>
            </w:pPr>
            <w:r>
              <w:rPr>
                <w:rFonts w:hint="eastAsia" w:ascii="宋体" w:hAnsi="宋体" w:cs="宋体"/>
                <w:color w:val="auto"/>
                <w:kern w:val="0"/>
                <w:sz w:val="18"/>
                <w:szCs w:val="18"/>
                <w:highlight w:val="none"/>
                <w:lang w:bidi="ar"/>
              </w:rPr>
              <w:t>50</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b/>
                <w:bCs/>
                <w:color w:val="auto"/>
                <w:sz w:val="18"/>
                <w:szCs w:val="18"/>
                <w:highlight w:val="none"/>
              </w:rPr>
            </w:pPr>
            <w:r>
              <w:rPr>
                <w:rFonts w:hint="eastAsia" w:ascii="宋体" w:hAnsi="宋体" w:cs="宋体"/>
                <w:color w:val="auto"/>
                <w:kern w:val="0"/>
                <w:sz w:val="18"/>
                <w:szCs w:val="18"/>
                <w:highlight w:val="none"/>
                <w:lang w:bidi="ar"/>
              </w:rPr>
              <w:t>米</w:t>
            </w:r>
          </w:p>
        </w:tc>
      </w:tr>
      <w:tr>
        <w:tblPrEx>
          <w:tblCellMar>
            <w:top w:w="0" w:type="dxa"/>
            <w:left w:w="108" w:type="dxa"/>
            <w:bottom w:w="0" w:type="dxa"/>
            <w:right w:w="108" w:type="dxa"/>
          </w:tblCellMar>
        </w:tblPrEx>
        <w:trPr>
          <w:trHeight w:val="426"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s="宋体"/>
                <w:b/>
                <w:bCs/>
                <w:color w:val="auto"/>
                <w:kern w:val="0"/>
                <w:sz w:val="18"/>
                <w:szCs w:val="18"/>
                <w:highlight w:val="none"/>
                <w:lang w:bidi="ar"/>
              </w:rPr>
            </w:pPr>
            <w:r>
              <w:rPr>
                <w:rFonts w:hint="eastAsia" w:ascii="宋体" w:hAnsi="宋体" w:cs="宋体"/>
                <w:color w:val="auto"/>
                <w:sz w:val="18"/>
                <w:szCs w:val="18"/>
                <w:highlight w:val="none"/>
              </w:rPr>
              <w:t>3</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b/>
                <w:bCs/>
                <w:color w:val="auto"/>
                <w:kern w:val="0"/>
                <w:sz w:val="18"/>
                <w:szCs w:val="18"/>
                <w:highlight w:val="none"/>
                <w:lang w:bidi="ar"/>
              </w:rPr>
            </w:pPr>
            <w:r>
              <w:rPr>
                <w:rFonts w:hint="eastAsia" w:ascii="宋体" w:hAnsi="宋体" w:cs="宋体"/>
                <w:color w:val="auto"/>
                <w:kern w:val="0"/>
                <w:sz w:val="18"/>
                <w:szCs w:val="18"/>
                <w:highlight w:val="none"/>
                <w:lang w:bidi="ar"/>
              </w:rPr>
              <w:t>Y字形立柱</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b/>
                <w:bCs/>
                <w:color w:val="auto"/>
                <w:sz w:val="18"/>
                <w:szCs w:val="18"/>
                <w:highlight w:val="none"/>
              </w:rPr>
            </w:pPr>
            <w:r>
              <w:rPr>
                <w:rFonts w:hint="eastAsia" w:ascii="宋体" w:hAnsi="宋体" w:cs="宋体"/>
                <w:color w:val="auto"/>
                <w:kern w:val="0"/>
                <w:sz w:val="18"/>
                <w:szCs w:val="18"/>
                <w:highlight w:val="none"/>
                <w:lang w:bidi="ar"/>
              </w:rPr>
              <w:t>1、300*300*5mm钢柱切割，2.对钢柱进行Y字形链接焊。3、对表面进行打磨，焊点清理。4、整体进行电镀（银色）工艺处理。</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b/>
                <w:bCs/>
                <w:color w:val="auto"/>
                <w:sz w:val="18"/>
                <w:szCs w:val="18"/>
                <w:highlight w:val="none"/>
              </w:rPr>
            </w:pPr>
            <w:r>
              <w:rPr>
                <w:rFonts w:hint="eastAsia" w:ascii="宋体" w:hAnsi="宋体" w:cs="宋体"/>
                <w:color w:val="auto"/>
                <w:kern w:val="0"/>
                <w:sz w:val="18"/>
                <w:szCs w:val="18"/>
                <w:highlight w:val="none"/>
                <w:lang w:bidi="ar"/>
              </w:rPr>
              <w:t>16</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b/>
                <w:bCs/>
                <w:color w:val="auto"/>
                <w:sz w:val="18"/>
                <w:szCs w:val="18"/>
                <w:highlight w:val="none"/>
              </w:rPr>
            </w:pPr>
            <w:r>
              <w:rPr>
                <w:rFonts w:hint="eastAsia" w:ascii="宋体" w:hAnsi="宋体" w:cs="宋体"/>
                <w:color w:val="auto"/>
                <w:kern w:val="0"/>
                <w:sz w:val="18"/>
                <w:szCs w:val="18"/>
                <w:highlight w:val="none"/>
                <w:lang w:bidi="ar"/>
              </w:rPr>
              <w:t>根</w:t>
            </w:r>
          </w:p>
        </w:tc>
      </w:tr>
      <w:tr>
        <w:tblPrEx>
          <w:tblCellMar>
            <w:top w:w="0" w:type="dxa"/>
            <w:left w:w="108" w:type="dxa"/>
            <w:bottom w:w="0" w:type="dxa"/>
            <w:right w:w="108" w:type="dxa"/>
          </w:tblCellMar>
        </w:tblPrEx>
        <w:trPr>
          <w:trHeight w:val="401"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s="宋体"/>
                <w:color w:val="auto"/>
                <w:sz w:val="18"/>
                <w:szCs w:val="18"/>
                <w:highlight w:val="none"/>
              </w:rPr>
            </w:pPr>
            <w:r>
              <w:rPr>
                <w:rFonts w:hint="eastAsia" w:ascii="宋体" w:hAnsi="宋体" w:cs="宋体"/>
                <w:color w:val="auto"/>
                <w:sz w:val="18"/>
                <w:szCs w:val="18"/>
                <w:highlight w:val="none"/>
              </w:rPr>
              <w:t>4</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立柱基础</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1、地面深挖400mm*1000mm深坑，2、放入预先加工好的预埋件。3、使用C25混凝土浇筑。</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16</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color w:val="auto"/>
                <w:kern w:val="0"/>
                <w:sz w:val="18"/>
                <w:szCs w:val="18"/>
                <w:highlight w:val="none"/>
                <w:lang w:bidi="ar"/>
              </w:rPr>
              <w:t>项</w:t>
            </w:r>
          </w:p>
        </w:tc>
      </w:tr>
      <w:tr>
        <w:tblPrEx>
          <w:tblCellMar>
            <w:top w:w="0" w:type="dxa"/>
            <w:left w:w="108" w:type="dxa"/>
            <w:bottom w:w="0" w:type="dxa"/>
            <w:right w:w="108" w:type="dxa"/>
          </w:tblCellMar>
        </w:tblPrEx>
        <w:trPr>
          <w:trHeight w:val="401"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s="宋体"/>
                <w:b/>
                <w:bCs/>
                <w:color w:val="auto"/>
                <w:kern w:val="0"/>
                <w:sz w:val="18"/>
                <w:szCs w:val="18"/>
                <w:highlight w:val="none"/>
                <w:lang w:bidi="ar"/>
              </w:rPr>
            </w:pPr>
            <w:r>
              <w:rPr>
                <w:rFonts w:hint="eastAsia" w:ascii="宋体" w:hAnsi="宋体" w:cs="宋体"/>
                <w:color w:val="auto"/>
                <w:sz w:val="18"/>
                <w:szCs w:val="18"/>
                <w:highlight w:val="none"/>
              </w:rPr>
              <w:t>5</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b/>
                <w:bCs/>
                <w:color w:val="auto"/>
                <w:kern w:val="0"/>
                <w:sz w:val="18"/>
                <w:szCs w:val="18"/>
                <w:highlight w:val="none"/>
                <w:lang w:bidi="ar"/>
              </w:rPr>
            </w:pPr>
            <w:r>
              <w:rPr>
                <w:rFonts w:hint="eastAsia" w:ascii="宋体" w:hAnsi="宋体" w:cs="宋体"/>
                <w:color w:val="auto"/>
                <w:kern w:val="0"/>
                <w:sz w:val="18"/>
                <w:szCs w:val="18"/>
                <w:highlight w:val="none"/>
                <w:lang w:bidi="ar"/>
              </w:rPr>
              <w:t>定制门</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1、成品钢制铁门定制、安装</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3</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套</w:t>
            </w:r>
          </w:p>
        </w:tc>
      </w:tr>
      <w:tr>
        <w:tblPrEx>
          <w:tblCellMar>
            <w:top w:w="0" w:type="dxa"/>
            <w:left w:w="108" w:type="dxa"/>
            <w:bottom w:w="0" w:type="dxa"/>
            <w:right w:w="108" w:type="dxa"/>
          </w:tblCellMar>
        </w:tblPrEx>
        <w:trPr>
          <w:trHeight w:val="401"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s="宋体"/>
                <w:color w:val="auto"/>
                <w:sz w:val="18"/>
                <w:szCs w:val="18"/>
                <w:highlight w:val="none"/>
              </w:rPr>
            </w:pPr>
            <w:r>
              <w:rPr>
                <w:rFonts w:hint="eastAsia" w:ascii="宋体" w:hAnsi="宋体" w:cs="宋体"/>
                <w:color w:val="auto"/>
                <w:sz w:val="18"/>
                <w:szCs w:val="18"/>
                <w:highlight w:val="none"/>
              </w:rPr>
              <w:t>6</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门下梁</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1、地面深挖300mm*500mm深坑，2、放入预先加工好的预埋件。3、使用C25混凝土浇筑。</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10</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平米</w:t>
            </w:r>
          </w:p>
        </w:tc>
      </w:tr>
      <w:tr>
        <w:tblPrEx>
          <w:tblCellMar>
            <w:top w:w="0" w:type="dxa"/>
            <w:left w:w="108" w:type="dxa"/>
            <w:bottom w:w="0" w:type="dxa"/>
            <w:right w:w="108" w:type="dxa"/>
          </w:tblCellMar>
        </w:tblPrEx>
        <w:trPr>
          <w:trHeight w:val="401"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s="宋体"/>
                <w:color w:val="auto"/>
                <w:sz w:val="18"/>
                <w:szCs w:val="18"/>
                <w:highlight w:val="none"/>
              </w:rPr>
            </w:pPr>
            <w:r>
              <w:rPr>
                <w:rFonts w:hint="eastAsia" w:ascii="宋体" w:hAnsi="宋体" w:cs="宋体"/>
                <w:color w:val="auto"/>
                <w:sz w:val="18"/>
                <w:szCs w:val="18"/>
                <w:highlight w:val="none"/>
              </w:rPr>
              <w:t>7</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预埋件制作</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1、预埋件螺栓直径24mm。2、长度800mm*500mm。3、基板尺寸400mm*400mm</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1</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套</w:t>
            </w:r>
          </w:p>
        </w:tc>
      </w:tr>
      <w:tr>
        <w:tblPrEx>
          <w:tblCellMar>
            <w:top w:w="0" w:type="dxa"/>
            <w:left w:w="108" w:type="dxa"/>
            <w:bottom w:w="0" w:type="dxa"/>
            <w:right w:w="108" w:type="dxa"/>
          </w:tblCellMar>
        </w:tblPrEx>
        <w:trPr>
          <w:trHeight w:val="401"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s="宋体"/>
                <w:color w:val="auto"/>
                <w:sz w:val="18"/>
                <w:szCs w:val="18"/>
                <w:highlight w:val="none"/>
              </w:rPr>
            </w:pPr>
            <w:r>
              <w:rPr>
                <w:rFonts w:hint="eastAsia" w:ascii="宋体" w:hAnsi="宋体" w:cs="宋体"/>
                <w:color w:val="auto"/>
                <w:sz w:val="18"/>
                <w:szCs w:val="18"/>
                <w:highlight w:val="none"/>
              </w:rPr>
              <w:t>8</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铁门电机及轨道</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1、电机两台。2、地面门轴轨道8米。3、齿条6米。4、尺寸两只。5、门上方挂架，挂件及混动轮。</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1</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套</w:t>
            </w:r>
          </w:p>
        </w:tc>
      </w:tr>
      <w:tr>
        <w:tblPrEx>
          <w:tblCellMar>
            <w:top w:w="0" w:type="dxa"/>
            <w:left w:w="108" w:type="dxa"/>
            <w:bottom w:w="0" w:type="dxa"/>
            <w:right w:w="108" w:type="dxa"/>
          </w:tblCellMar>
        </w:tblPrEx>
        <w:trPr>
          <w:trHeight w:val="456"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s="宋体"/>
                <w:color w:val="auto"/>
                <w:sz w:val="18"/>
                <w:szCs w:val="18"/>
                <w:highlight w:val="none"/>
              </w:rPr>
            </w:pPr>
            <w:r>
              <w:rPr>
                <w:rFonts w:hint="eastAsia" w:ascii="宋体" w:hAnsi="宋体" w:cs="宋体"/>
                <w:color w:val="auto"/>
                <w:sz w:val="18"/>
                <w:szCs w:val="18"/>
                <w:highlight w:val="none"/>
              </w:rPr>
              <w:t>9</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声光报警系统</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C门门开门状态声光报警</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2</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台</w:t>
            </w:r>
          </w:p>
        </w:tc>
      </w:tr>
      <w:tr>
        <w:tblPrEx>
          <w:tblCellMar>
            <w:top w:w="0" w:type="dxa"/>
            <w:left w:w="108" w:type="dxa"/>
            <w:bottom w:w="0" w:type="dxa"/>
            <w:right w:w="108" w:type="dxa"/>
          </w:tblCellMar>
        </w:tblPrEx>
        <w:trPr>
          <w:trHeight w:val="401"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s="宋体"/>
                <w:color w:val="auto"/>
                <w:sz w:val="18"/>
                <w:szCs w:val="18"/>
                <w:highlight w:val="none"/>
              </w:rPr>
            </w:pPr>
            <w:r>
              <w:rPr>
                <w:rFonts w:hint="eastAsia" w:ascii="宋体" w:hAnsi="宋体" w:cs="宋体"/>
                <w:color w:val="auto"/>
                <w:sz w:val="18"/>
                <w:szCs w:val="18"/>
                <w:highlight w:val="none"/>
              </w:rPr>
              <w:t>10</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门禁控制器</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与监狱现用门禁控制器相一致，接入监狱现有门禁系统</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2</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台</w:t>
            </w:r>
          </w:p>
        </w:tc>
      </w:tr>
      <w:tr>
        <w:tblPrEx>
          <w:tblCellMar>
            <w:top w:w="0" w:type="dxa"/>
            <w:left w:w="108" w:type="dxa"/>
            <w:bottom w:w="0" w:type="dxa"/>
            <w:right w:w="108" w:type="dxa"/>
          </w:tblCellMar>
        </w:tblPrEx>
        <w:trPr>
          <w:trHeight w:val="401"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hint="default" w:ascii="宋体" w:hAnsi="宋体" w:eastAsia="宋体" w:cs="宋体"/>
                <w:color w:val="auto"/>
                <w:sz w:val="18"/>
                <w:szCs w:val="18"/>
                <w:highlight w:val="none"/>
                <w:lang w:val="en-US" w:eastAsia="zh-CN"/>
              </w:rPr>
            </w:pPr>
            <w:r>
              <w:rPr>
                <w:rFonts w:hint="eastAsia" w:ascii="宋体" w:hAnsi="宋体" w:cs="宋体"/>
                <w:color w:val="auto"/>
                <w:sz w:val="18"/>
                <w:szCs w:val="18"/>
                <w:highlight w:val="none"/>
                <w:lang w:val="en-US" w:eastAsia="zh-CN"/>
              </w:rPr>
              <w:t>11</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hint="eastAsia" w:ascii="宋体" w:hAnsi="宋体" w:eastAsia="宋体" w:cs="宋体"/>
                <w:color w:val="auto"/>
                <w:kern w:val="0"/>
                <w:sz w:val="18"/>
                <w:szCs w:val="18"/>
                <w:highlight w:val="none"/>
                <w:lang w:val="en-US" w:eastAsia="zh-CN" w:bidi="ar"/>
              </w:rPr>
            </w:pPr>
            <w:r>
              <w:rPr>
                <w:rFonts w:hint="eastAsia" w:ascii="宋体" w:hAnsi="宋体" w:cs="宋体"/>
                <w:color w:val="auto"/>
                <w:kern w:val="0"/>
                <w:sz w:val="18"/>
                <w:szCs w:val="18"/>
                <w:highlight w:val="none"/>
                <w:lang w:val="en-US" w:eastAsia="zh-CN" w:bidi="ar"/>
              </w:rPr>
              <w:t>操作台</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hint="default" w:ascii="宋体" w:hAnsi="宋体" w:eastAsia="宋体" w:cs="宋体"/>
                <w:color w:val="auto"/>
                <w:kern w:val="0"/>
                <w:sz w:val="18"/>
                <w:szCs w:val="18"/>
                <w:highlight w:val="none"/>
                <w:lang w:val="en-US" w:eastAsia="zh-CN" w:bidi="ar"/>
              </w:rPr>
            </w:pPr>
            <w:r>
              <w:rPr>
                <w:rFonts w:hint="eastAsia" w:ascii="宋体" w:hAnsi="宋体" w:cs="宋体"/>
                <w:color w:val="auto"/>
                <w:kern w:val="0"/>
                <w:sz w:val="18"/>
                <w:szCs w:val="18"/>
                <w:highlight w:val="none"/>
                <w:lang w:val="en-US" w:eastAsia="zh-CN" w:bidi="ar"/>
              </w:rPr>
              <w:t>值班室定制操作台、定制椅子</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hint="eastAsia" w:ascii="宋体" w:hAnsi="宋体" w:eastAsia="宋体" w:cs="宋体"/>
                <w:color w:val="auto"/>
                <w:kern w:val="0"/>
                <w:sz w:val="18"/>
                <w:szCs w:val="18"/>
                <w:highlight w:val="none"/>
                <w:lang w:val="en-US" w:eastAsia="zh-CN" w:bidi="ar"/>
              </w:rPr>
            </w:pPr>
            <w:r>
              <w:rPr>
                <w:rFonts w:hint="eastAsia" w:ascii="宋体" w:hAnsi="宋体" w:cs="宋体"/>
                <w:color w:val="auto"/>
                <w:kern w:val="0"/>
                <w:sz w:val="18"/>
                <w:szCs w:val="18"/>
                <w:highlight w:val="none"/>
                <w:lang w:val="en-US" w:eastAsia="zh-CN" w:bidi="ar"/>
              </w:rPr>
              <w:t>2</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hint="eastAsia" w:ascii="宋体" w:hAnsi="宋体" w:eastAsia="宋体" w:cs="宋体"/>
                <w:color w:val="auto"/>
                <w:kern w:val="0"/>
                <w:sz w:val="18"/>
                <w:szCs w:val="18"/>
                <w:highlight w:val="none"/>
                <w:lang w:val="en-US" w:eastAsia="zh-CN" w:bidi="ar"/>
              </w:rPr>
            </w:pPr>
            <w:r>
              <w:rPr>
                <w:rFonts w:hint="eastAsia" w:ascii="宋体" w:hAnsi="宋体" w:cs="宋体"/>
                <w:color w:val="auto"/>
                <w:kern w:val="0"/>
                <w:sz w:val="18"/>
                <w:szCs w:val="18"/>
                <w:highlight w:val="none"/>
                <w:lang w:val="en-US" w:eastAsia="zh-CN" w:bidi="ar"/>
              </w:rPr>
              <w:t>套</w:t>
            </w:r>
          </w:p>
        </w:tc>
      </w:tr>
      <w:tr>
        <w:tblPrEx>
          <w:tblCellMar>
            <w:top w:w="0" w:type="dxa"/>
            <w:left w:w="108" w:type="dxa"/>
            <w:bottom w:w="0" w:type="dxa"/>
            <w:right w:w="108" w:type="dxa"/>
          </w:tblCellMar>
        </w:tblPrEx>
        <w:trPr>
          <w:trHeight w:val="401"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b/>
                <w:bCs/>
                <w:color w:val="auto"/>
                <w:sz w:val="18"/>
                <w:szCs w:val="18"/>
                <w:highlight w:val="none"/>
              </w:rPr>
              <w:t>五</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rPr>
                <w:rFonts w:ascii="宋体" w:hAnsi="宋体" w:cs="宋体"/>
                <w:color w:val="auto"/>
                <w:kern w:val="0"/>
                <w:sz w:val="18"/>
                <w:szCs w:val="18"/>
                <w:highlight w:val="none"/>
                <w:lang w:bidi="ar"/>
              </w:rPr>
            </w:pPr>
            <w:r>
              <w:rPr>
                <w:rFonts w:hint="eastAsia" w:ascii="宋体" w:hAnsi="宋体" w:cs="宋体"/>
                <w:b/>
                <w:bCs/>
                <w:color w:val="auto"/>
                <w:kern w:val="0"/>
                <w:sz w:val="18"/>
                <w:szCs w:val="18"/>
                <w:highlight w:val="none"/>
                <w:lang w:bidi="ar"/>
              </w:rPr>
              <w:t>设备安装调试集成等服务</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s="宋体"/>
                <w:color w:val="auto"/>
                <w:kern w:val="0"/>
                <w:sz w:val="18"/>
                <w:szCs w:val="18"/>
                <w:highlight w:val="none"/>
                <w:lang w:bidi="ar"/>
              </w:rPr>
            </w:pP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s="宋体"/>
                <w:color w:val="auto"/>
                <w:kern w:val="0"/>
                <w:sz w:val="18"/>
                <w:szCs w:val="18"/>
                <w:highlight w:val="none"/>
                <w:lang w:bidi="ar"/>
              </w:rPr>
            </w:pP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kern w:val="0"/>
                <w:sz w:val="18"/>
                <w:szCs w:val="18"/>
                <w:highlight w:val="none"/>
                <w:lang w:bidi="ar"/>
              </w:rPr>
            </w:pPr>
          </w:p>
        </w:tc>
      </w:tr>
      <w:tr>
        <w:tblPrEx>
          <w:tblCellMar>
            <w:top w:w="0" w:type="dxa"/>
            <w:left w:w="108" w:type="dxa"/>
            <w:bottom w:w="0" w:type="dxa"/>
            <w:right w:w="108" w:type="dxa"/>
          </w:tblCellMar>
        </w:tblPrEx>
        <w:trPr>
          <w:trHeight w:val="401"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sz w:val="18"/>
                <w:szCs w:val="18"/>
                <w:highlight w:val="none"/>
              </w:rPr>
            </w:pPr>
            <w:r>
              <w:rPr>
                <w:rFonts w:hint="eastAsia" w:ascii="宋体" w:hAnsi="宋体" w:cs="宋体"/>
                <w:b w:val="0"/>
                <w:bCs w:val="0"/>
                <w:color w:val="auto"/>
                <w:kern w:val="0"/>
                <w:sz w:val="18"/>
                <w:szCs w:val="18"/>
                <w:highlight w:val="none"/>
                <w:lang w:bidi="ar"/>
              </w:rPr>
              <w:t>1</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平台对接</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生命探测仪系统、固定车底扫描系统与AB门管理平台接口对接，平台信息接入</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hint="eastAsia" w:ascii="宋体" w:hAnsi="宋体" w:eastAsia="宋体" w:cs="宋体"/>
                <w:color w:val="auto"/>
                <w:kern w:val="0"/>
                <w:sz w:val="18"/>
                <w:szCs w:val="18"/>
                <w:highlight w:val="none"/>
                <w:lang w:val="en-US" w:eastAsia="zh-CN" w:bidi="ar"/>
              </w:rPr>
            </w:pPr>
            <w:r>
              <w:rPr>
                <w:rFonts w:hint="eastAsia" w:ascii="宋体" w:hAnsi="宋体" w:cs="宋体"/>
                <w:color w:val="auto"/>
                <w:kern w:val="0"/>
                <w:sz w:val="18"/>
                <w:szCs w:val="18"/>
                <w:highlight w:val="none"/>
                <w:lang w:val="en-US" w:eastAsia="zh-CN" w:bidi="ar"/>
              </w:rPr>
              <w:t>1</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套</w:t>
            </w:r>
          </w:p>
        </w:tc>
      </w:tr>
      <w:tr>
        <w:tblPrEx>
          <w:tblCellMar>
            <w:top w:w="0" w:type="dxa"/>
            <w:left w:w="108" w:type="dxa"/>
            <w:bottom w:w="0" w:type="dxa"/>
            <w:right w:w="108" w:type="dxa"/>
          </w:tblCellMar>
        </w:tblPrEx>
        <w:trPr>
          <w:trHeight w:val="401"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b/>
                <w:bCs/>
                <w:color w:val="auto"/>
                <w:kern w:val="0"/>
                <w:sz w:val="18"/>
                <w:szCs w:val="18"/>
                <w:highlight w:val="none"/>
                <w:lang w:bidi="ar"/>
              </w:rPr>
            </w:pPr>
            <w:r>
              <w:rPr>
                <w:rFonts w:hint="eastAsia" w:ascii="宋体" w:hAnsi="宋体" w:cs="宋体"/>
                <w:b w:val="0"/>
                <w:bCs w:val="0"/>
                <w:color w:val="auto"/>
                <w:kern w:val="0"/>
                <w:sz w:val="18"/>
                <w:szCs w:val="18"/>
                <w:highlight w:val="none"/>
                <w:lang w:bidi="ar"/>
              </w:rPr>
              <w:t>2</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系统集成</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含设备安装调试、线材（国标六类网线及电源线）、辅材、硬化路面切槽及恢复等</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1</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项</w:t>
            </w:r>
          </w:p>
        </w:tc>
      </w:tr>
      <w:tr>
        <w:tblPrEx>
          <w:tblCellMar>
            <w:top w:w="0" w:type="dxa"/>
            <w:left w:w="108" w:type="dxa"/>
            <w:bottom w:w="0" w:type="dxa"/>
            <w:right w:w="108" w:type="dxa"/>
          </w:tblCellMar>
        </w:tblPrEx>
        <w:trPr>
          <w:trHeight w:val="401"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s="宋体"/>
                <w:color w:val="auto"/>
                <w:sz w:val="18"/>
                <w:szCs w:val="18"/>
                <w:highlight w:val="none"/>
              </w:rPr>
            </w:pPr>
            <w:r>
              <w:rPr>
                <w:rFonts w:hint="eastAsia" w:ascii="宋体" w:hAnsi="宋体" w:cs="宋体"/>
                <w:color w:val="auto"/>
                <w:sz w:val="18"/>
                <w:szCs w:val="18"/>
                <w:highlight w:val="none"/>
              </w:rPr>
              <w:t>3</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s="宋体"/>
                <w:color w:val="auto"/>
                <w:kern w:val="0"/>
                <w:sz w:val="18"/>
                <w:szCs w:val="18"/>
                <w:highlight w:val="none"/>
                <w:lang w:bidi="ar"/>
              </w:rPr>
            </w:pPr>
            <w:r>
              <w:rPr>
                <w:rFonts w:hint="eastAsia" w:ascii="宋体" w:hAnsi="宋体" w:cs="宋体"/>
                <w:color w:val="auto"/>
                <w:sz w:val="18"/>
                <w:szCs w:val="18"/>
                <w:highlight w:val="none"/>
              </w:rPr>
              <w:t>施工及人工费用</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jc w:val="both"/>
              <w:rPr>
                <w:rFonts w:ascii="宋体" w:hAnsi="宋体" w:cs="宋体"/>
                <w:color w:val="auto"/>
                <w:kern w:val="0"/>
                <w:sz w:val="18"/>
                <w:szCs w:val="18"/>
                <w:highlight w:val="none"/>
                <w:lang w:bidi="ar"/>
              </w:rPr>
            </w:pPr>
            <w:r>
              <w:rPr>
                <w:rFonts w:hint="eastAsia" w:ascii="宋体" w:hAnsi="宋体" w:cs="宋体"/>
                <w:color w:val="auto"/>
                <w:kern w:val="0"/>
                <w:sz w:val="18"/>
                <w:szCs w:val="18"/>
                <w:highlight w:val="none"/>
                <w:lang w:bidi="ar"/>
              </w:rPr>
              <w:t>含工程产生的所有人工费用及施工费用</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s="宋体"/>
                <w:color w:val="auto"/>
                <w:kern w:val="0"/>
                <w:sz w:val="18"/>
                <w:szCs w:val="18"/>
                <w:highlight w:val="none"/>
                <w:lang w:bidi="ar"/>
              </w:rPr>
            </w:pPr>
            <w:r>
              <w:rPr>
                <w:rFonts w:hint="eastAsia" w:ascii="宋体" w:hAnsi="宋体" w:cs="宋体"/>
                <w:color w:val="auto"/>
                <w:sz w:val="18"/>
                <w:szCs w:val="18"/>
                <w:highlight w:val="none"/>
              </w:rPr>
              <w:t>1</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ascii="宋体" w:hAnsi="宋体" w:cs="宋体"/>
                <w:color w:val="auto"/>
                <w:kern w:val="0"/>
                <w:sz w:val="18"/>
                <w:szCs w:val="18"/>
                <w:highlight w:val="none"/>
                <w:lang w:bidi="ar"/>
              </w:rPr>
            </w:pPr>
            <w:r>
              <w:rPr>
                <w:rFonts w:hint="eastAsia" w:ascii="宋体" w:hAnsi="宋体" w:cs="宋体"/>
                <w:color w:val="auto"/>
                <w:sz w:val="18"/>
                <w:szCs w:val="18"/>
                <w:highlight w:val="none"/>
              </w:rPr>
              <w:t>项</w:t>
            </w:r>
          </w:p>
        </w:tc>
      </w:tr>
      <w:tr>
        <w:tblPrEx>
          <w:tblCellMar>
            <w:top w:w="0" w:type="dxa"/>
            <w:left w:w="108" w:type="dxa"/>
            <w:bottom w:w="0" w:type="dxa"/>
            <w:right w:w="108" w:type="dxa"/>
          </w:tblCellMar>
        </w:tblPrEx>
        <w:trPr>
          <w:trHeight w:val="401"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color w:val="auto"/>
                <w:sz w:val="18"/>
                <w:szCs w:val="18"/>
                <w:highlight w:val="none"/>
                <w:lang w:val="en-US" w:eastAsia="zh-CN"/>
              </w:rPr>
            </w:pPr>
            <w:r>
              <w:rPr>
                <w:rFonts w:hint="eastAsia" w:ascii="宋体" w:hAnsi="宋体" w:cs="宋体"/>
                <w:color w:val="auto"/>
                <w:sz w:val="18"/>
                <w:szCs w:val="18"/>
                <w:highlight w:val="none"/>
                <w:lang w:val="en-US" w:eastAsia="zh-CN"/>
              </w:rPr>
              <w:t>六</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hint="default" w:ascii="宋体" w:hAnsi="宋体" w:eastAsia="宋体" w:cs="宋体"/>
                <w:color w:val="auto"/>
                <w:sz w:val="18"/>
                <w:szCs w:val="18"/>
                <w:highlight w:val="none"/>
                <w:lang w:val="en-US" w:eastAsia="zh-CN"/>
              </w:rPr>
            </w:pPr>
            <w:r>
              <w:rPr>
                <w:rFonts w:hint="eastAsia" w:ascii="宋体" w:hAnsi="宋体" w:cs="宋体"/>
                <w:color w:val="auto"/>
                <w:sz w:val="18"/>
                <w:szCs w:val="18"/>
                <w:highlight w:val="none"/>
                <w:lang w:val="en-US" w:eastAsia="zh-CN"/>
              </w:rPr>
              <w:t>辅助设施</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jc w:val="both"/>
              <w:rPr>
                <w:rFonts w:hint="eastAsia" w:ascii="宋体" w:hAnsi="宋体" w:cs="宋体"/>
                <w:color w:val="auto"/>
                <w:kern w:val="0"/>
                <w:sz w:val="18"/>
                <w:szCs w:val="18"/>
                <w:highlight w:val="none"/>
                <w:lang w:bidi="ar"/>
              </w:rPr>
            </w:pP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cs="宋体"/>
                <w:color w:val="auto"/>
                <w:sz w:val="18"/>
                <w:szCs w:val="18"/>
                <w:highlight w:val="none"/>
              </w:rPr>
            </w:pP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cs="宋体"/>
                <w:color w:val="auto"/>
                <w:sz w:val="18"/>
                <w:szCs w:val="18"/>
                <w:highlight w:val="none"/>
              </w:rPr>
            </w:pPr>
          </w:p>
        </w:tc>
      </w:tr>
      <w:tr>
        <w:tblPrEx>
          <w:tblCellMar>
            <w:top w:w="0" w:type="dxa"/>
            <w:left w:w="108" w:type="dxa"/>
            <w:bottom w:w="0" w:type="dxa"/>
            <w:right w:w="108" w:type="dxa"/>
          </w:tblCellMar>
        </w:tblPrEx>
        <w:trPr>
          <w:trHeight w:val="401"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hint="default" w:ascii="宋体" w:hAnsi="宋体" w:cs="宋体"/>
                <w:color w:val="auto"/>
                <w:sz w:val="18"/>
                <w:szCs w:val="18"/>
                <w:highlight w:val="none"/>
                <w:lang w:val="en-US" w:eastAsia="zh-CN"/>
              </w:rPr>
            </w:pPr>
            <w:r>
              <w:rPr>
                <w:rFonts w:hint="eastAsia" w:ascii="宋体" w:hAnsi="宋体" w:cs="宋体"/>
                <w:color w:val="auto"/>
                <w:sz w:val="18"/>
                <w:szCs w:val="18"/>
                <w:highlight w:val="none"/>
                <w:lang w:val="en-US" w:eastAsia="zh-CN"/>
              </w:rPr>
              <w:t>1</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hint="eastAsia" w:ascii="宋体" w:hAnsi="宋体" w:cs="宋体"/>
                <w:color w:val="auto"/>
                <w:sz w:val="18"/>
                <w:szCs w:val="18"/>
                <w:highlight w:val="none"/>
                <w:lang w:val="en-US" w:eastAsia="zh-CN"/>
              </w:rPr>
            </w:pPr>
            <w:r>
              <w:rPr>
                <w:rFonts w:hint="eastAsia" w:ascii="宋体" w:hAnsi="宋体" w:cs="宋体"/>
                <w:color w:val="auto"/>
                <w:kern w:val="0"/>
                <w:sz w:val="18"/>
                <w:szCs w:val="18"/>
                <w:highlight w:val="none"/>
                <w:lang w:val="en-US" w:eastAsia="zh-CN" w:bidi="ar"/>
              </w:rPr>
              <w:t>摄像机挪动安装</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hint="eastAsia" w:ascii="宋体" w:hAnsi="宋体" w:cs="宋体"/>
                <w:color w:val="auto"/>
                <w:kern w:val="0"/>
                <w:sz w:val="18"/>
                <w:szCs w:val="18"/>
                <w:highlight w:val="none"/>
                <w:lang w:bidi="ar"/>
              </w:rPr>
            </w:pPr>
            <w:r>
              <w:rPr>
                <w:rFonts w:hint="eastAsia" w:ascii="宋体" w:hAnsi="宋体" w:cs="宋体"/>
                <w:color w:val="auto"/>
                <w:kern w:val="0"/>
                <w:sz w:val="18"/>
                <w:szCs w:val="18"/>
                <w:highlight w:val="none"/>
                <w:lang w:val="en-US" w:eastAsia="zh-CN" w:bidi="ar"/>
              </w:rPr>
              <w:t>缓冲区大门建设完成后，需按照监狱要求挪动安装部分摄像机</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color w:val="auto"/>
                <w:sz w:val="18"/>
                <w:szCs w:val="18"/>
                <w:highlight w:val="none"/>
                <w:lang w:val="en-US" w:eastAsia="zh-CN"/>
              </w:rPr>
            </w:pPr>
            <w:r>
              <w:rPr>
                <w:rFonts w:hint="eastAsia" w:ascii="宋体" w:hAnsi="宋体" w:cs="宋体"/>
                <w:color w:val="auto"/>
                <w:sz w:val="18"/>
                <w:szCs w:val="18"/>
                <w:highlight w:val="none"/>
                <w:lang w:val="en-US" w:eastAsia="zh-CN"/>
              </w:rPr>
              <w:t>1</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color w:val="auto"/>
                <w:sz w:val="18"/>
                <w:szCs w:val="18"/>
                <w:highlight w:val="none"/>
                <w:lang w:val="en-US" w:eastAsia="zh-CN"/>
              </w:rPr>
            </w:pPr>
            <w:r>
              <w:rPr>
                <w:rFonts w:hint="eastAsia" w:ascii="宋体" w:hAnsi="宋体" w:cs="宋体"/>
                <w:color w:val="auto"/>
                <w:sz w:val="18"/>
                <w:szCs w:val="18"/>
                <w:highlight w:val="none"/>
                <w:lang w:val="en-US" w:eastAsia="zh-CN"/>
              </w:rPr>
              <w:t>项</w:t>
            </w:r>
          </w:p>
        </w:tc>
      </w:tr>
      <w:tr>
        <w:tblPrEx>
          <w:tblCellMar>
            <w:top w:w="0" w:type="dxa"/>
            <w:left w:w="108" w:type="dxa"/>
            <w:bottom w:w="0" w:type="dxa"/>
            <w:right w:w="108" w:type="dxa"/>
          </w:tblCellMar>
        </w:tblPrEx>
        <w:trPr>
          <w:trHeight w:val="401"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hint="default" w:ascii="宋体" w:hAnsi="宋体" w:cs="宋体"/>
                <w:color w:val="auto"/>
                <w:sz w:val="18"/>
                <w:szCs w:val="18"/>
                <w:highlight w:val="none"/>
                <w:lang w:val="en-US" w:eastAsia="zh-CN"/>
              </w:rPr>
            </w:pPr>
            <w:r>
              <w:rPr>
                <w:rFonts w:hint="eastAsia" w:ascii="宋体" w:hAnsi="宋体" w:cs="宋体"/>
                <w:color w:val="auto"/>
                <w:sz w:val="18"/>
                <w:szCs w:val="18"/>
                <w:highlight w:val="none"/>
                <w:lang w:val="en-US" w:eastAsia="zh-CN"/>
              </w:rPr>
              <w:t>2</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hint="eastAsia" w:ascii="宋体" w:hAnsi="宋体" w:cs="宋体"/>
                <w:color w:val="auto"/>
                <w:sz w:val="18"/>
                <w:szCs w:val="18"/>
                <w:highlight w:val="none"/>
                <w:lang w:val="en-US" w:eastAsia="zh-CN"/>
              </w:rPr>
            </w:pPr>
            <w:r>
              <w:rPr>
                <w:rFonts w:hint="eastAsia" w:ascii="宋体" w:hAnsi="宋体" w:cs="宋体"/>
                <w:color w:val="auto"/>
                <w:kern w:val="0"/>
                <w:sz w:val="18"/>
                <w:szCs w:val="18"/>
                <w:highlight w:val="none"/>
                <w:lang w:val="en-US" w:eastAsia="zh-CN" w:bidi="ar"/>
              </w:rPr>
              <w:t>视频监控平台升级</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hint="eastAsia" w:ascii="宋体" w:hAnsi="宋体" w:cs="宋体"/>
                <w:color w:val="auto"/>
                <w:kern w:val="0"/>
                <w:sz w:val="18"/>
                <w:szCs w:val="18"/>
                <w:highlight w:val="none"/>
                <w:lang w:bidi="ar"/>
              </w:rPr>
            </w:pPr>
            <w:r>
              <w:rPr>
                <w:rFonts w:hint="eastAsia" w:ascii="宋体" w:hAnsi="宋体" w:cs="宋体"/>
                <w:color w:val="auto"/>
                <w:kern w:val="0"/>
                <w:sz w:val="18"/>
                <w:szCs w:val="18"/>
                <w:highlight w:val="none"/>
                <w:lang w:val="en-US" w:eastAsia="zh-CN" w:bidi="ar"/>
              </w:rPr>
              <w:t>视频监控平台升级</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color w:val="auto"/>
                <w:sz w:val="18"/>
                <w:szCs w:val="18"/>
                <w:highlight w:val="none"/>
                <w:lang w:val="en-US" w:eastAsia="zh-CN"/>
              </w:rPr>
            </w:pPr>
            <w:r>
              <w:rPr>
                <w:rFonts w:hint="eastAsia" w:ascii="宋体" w:hAnsi="宋体" w:cs="宋体"/>
                <w:color w:val="auto"/>
                <w:sz w:val="18"/>
                <w:szCs w:val="18"/>
                <w:highlight w:val="none"/>
                <w:lang w:val="en-US" w:eastAsia="zh-CN"/>
              </w:rPr>
              <w:t>1</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color w:val="auto"/>
                <w:sz w:val="18"/>
                <w:szCs w:val="18"/>
                <w:highlight w:val="none"/>
                <w:lang w:val="en-US" w:eastAsia="zh-CN"/>
              </w:rPr>
            </w:pPr>
            <w:r>
              <w:rPr>
                <w:rFonts w:hint="eastAsia" w:ascii="宋体" w:hAnsi="宋体" w:cs="宋体"/>
                <w:color w:val="auto"/>
                <w:sz w:val="18"/>
                <w:szCs w:val="18"/>
                <w:highlight w:val="none"/>
                <w:lang w:val="en-US" w:eastAsia="zh-CN"/>
              </w:rPr>
              <w:t>项</w:t>
            </w:r>
          </w:p>
        </w:tc>
      </w:tr>
      <w:tr>
        <w:tblPrEx>
          <w:tblCellMar>
            <w:top w:w="0" w:type="dxa"/>
            <w:left w:w="108" w:type="dxa"/>
            <w:bottom w:w="0" w:type="dxa"/>
            <w:right w:w="108" w:type="dxa"/>
          </w:tblCellMar>
        </w:tblPrEx>
        <w:trPr>
          <w:trHeight w:val="401"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hint="default" w:ascii="宋体" w:hAnsi="宋体" w:cs="宋体"/>
                <w:color w:val="auto"/>
                <w:sz w:val="18"/>
                <w:szCs w:val="18"/>
                <w:highlight w:val="none"/>
                <w:lang w:val="en-US" w:eastAsia="zh-CN"/>
              </w:rPr>
            </w:pPr>
            <w:r>
              <w:rPr>
                <w:rFonts w:hint="eastAsia" w:ascii="宋体" w:hAnsi="宋体" w:cs="宋体"/>
                <w:color w:val="auto"/>
                <w:sz w:val="18"/>
                <w:szCs w:val="18"/>
                <w:highlight w:val="none"/>
                <w:lang w:val="en-US" w:eastAsia="zh-CN"/>
              </w:rPr>
              <w:t>3</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widowControl/>
              <w:jc w:val="center"/>
              <w:textAlignment w:val="center"/>
              <w:rPr>
                <w:rFonts w:hint="eastAsia" w:ascii="宋体" w:hAnsi="宋体" w:cs="宋体"/>
                <w:color w:val="auto"/>
                <w:sz w:val="18"/>
                <w:szCs w:val="18"/>
                <w:highlight w:val="none"/>
                <w:lang w:val="en-US" w:eastAsia="zh-CN"/>
              </w:rPr>
            </w:pPr>
            <w:r>
              <w:rPr>
                <w:rFonts w:hint="eastAsia" w:ascii="宋体" w:hAnsi="宋体" w:cs="宋体"/>
                <w:color w:val="auto"/>
                <w:kern w:val="0"/>
                <w:sz w:val="18"/>
                <w:szCs w:val="18"/>
                <w:highlight w:val="none"/>
                <w:lang w:val="en-US" w:eastAsia="zh-CN" w:bidi="ar"/>
              </w:rPr>
              <w:t>室外广角镜</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widowControl/>
              <w:textAlignment w:val="center"/>
              <w:rPr>
                <w:rFonts w:hint="eastAsia" w:ascii="宋体" w:hAnsi="宋体" w:cs="宋体"/>
                <w:color w:val="auto"/>
                <w:kern w:val="0"/>
                <w:sz w:val="18"/>
                <w:szCs w:val="18"/>
                <w:highlight w:val="none"/>
                <w:lang w:bidi="ar"/>
              </w:rPr>
            </w:pPr>
            <w:r>
              <w:rPr>
                <w:rFonts w:hint="eastAsia" w:ascii="宋体" w:hAnsi="宋体" w:cs="宋体"/>
                <w:color w:val="auto"/>
                <w:kern w:val="0"/>
                <w:sz w:val="18"/>
                <w:szCs w:val="18"/>
                <w:highlight w:val="none"/>
                <w:lang w:val="en-US" w:eastAsia="zh-CN" w:bidi="ar"/>
              </w:rPr>
              <w:t>80cm，可视范围180度</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color w:val="auto"/>
                <w:sz w:val="18"/>
                <w:szCs w:val="18"/>
                <w:highlight w:val="none"/>
                <w:lang w:val="en-US" w:eastAsia="zh-CN"/>
              </w:rPr>
            </w:pPr>
            <w:r>
              <w:rPr>
                <w:rFonts w:hint="eastAsia" w:ascii="宋体" w:hAnsi="宋体" w:cs="宋体"/>
                <w:color w:val="auto"/>
                <w:sz w:val="18"/>
                <w:szCs w:val="18"/>
                <w:highlight w:val="none"/>
                <w:lang w:val="en-US" w:eastAsia="zh-CN"/>
              </w:rPr>
              <w:t>1</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color w:val="auto"/>
                <w:sz w:val="18"/>
                <w:szCs w:val="18"/>
                <w:highlight w:val="none"/>
                <w:lang w:val="en-US" w:eastAsia="zh-CN"/>
              </w:rPr>
            </w:pPr>
            <w:r>
              <w:rPr>
                <w:rFonts w:hint="eastAsia" w:ascii="宋体" w:hAnsi="宋体" w:cs="宋体"/>
                <w:color w:val="auto"/>
                <w:sz w:val="18"/>
                <w:szCs w:val="18"/>
                <w:highlight w:val="none"/>
                <w:lang w:val="en-US" w:eastAsia="zh-CN"/>
              </w:rPr>
              <w:t>个</w:t>
            </w:r>
          </w:p>
        </w:tc>
      </w:tr>
      <w:tr>
        <w:tblPrEx>
          <w:tblCellMar>
            <w:top w:w="0" w:type="dxa"/>
            <w:left w:w="108" w:type="dxa"/>
            <w:bottom w:w="0" w:type="dxa"/>
            <w:right w:w="108" w:type="dxa"/>
          </w:tblCellMar>
        </w:tblPrEx>
        <w:trPr>
          <w:trHeight w:val="401" w:hRule="atLeast"/>
        </w:trPr>
        <w:tc>
          <w:tcPr>
            <w:tcW w:w="599"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hint="default" w:ascii="宋体" w:hAnsi="宋体" w:cs="宋体"/>
                <w:color w:val="auto"/>
                <w:sz w:val="18"/>
                <w:szCs w:val="18"/>
                <w:highlight w:val="none"/>
                <w:lang w:val="en-US" w:eastAsia="zh-CN"/>
              </w:rPr>
            </w:pPr>
            <w:r>
              <w:rPr>
                <w:rFonts w:hint="eastAsia" w:ascii="宋体" w:hAnsi="宋体" w:cs="宋体"/>
                <w:color w:val="auto"/>
                <w:sz w:val="18"/>
                <w:szCs w:val="18"/>
                <w:highlight w:val="none"/>
                <w:lang w:val="en-US" w:eastAsia="zh-CN"/>
              </w:rPr>
              <w:t>4</w:t>
            </w:r>
          </w:p>
        </w:tc>
        <w:tc>
          <w:tcPr>
            <w:tcW w:w="1547"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cs="宋体"/>
                <w:color w:val="auto"/>
                <w:sz w:val="18"/>
                <w:szCs w:val="18"/>
                <w:highlight w:val="none"/>
                <w:lang w:val="en-US" w:eastAsia="zh-CN"/>
              </w:rPr>
            </w:pPr>
            <w:r>
              <w:rPr>
                <w:rFonts w:hint="eastAsia" w:ascii="宋体" w:hAnsi="宋体" w:cs="宋体"/>
                <w:color w:val="auto"/>
                <w:sz w:val="18"/>
                <w:szCs w:val="18"/>
                <w:highlight w:val="none"/>
                <w:lang w:val="en-US" w:eastAsia="zh-CN"/>
              </w:rPr>
              <w:t>机房空调维修维护</w:t>
            </w:r>
          </w:p>
        </w:tc>
        <w:tc>
          <w:tcPr>
            <w:tcW w:w="5389" w:type="dxa"/>
            <w:tcBorders>
              <w:top w:val="single" w:color="000000" w:sz="4" w:space="0"/>
              <w:left w:val="single" w:color="000000" w:sz="4" w:space="0"/>
              <w:bottom w:val="single" w:color="000000" w:sz="4" w:space="0"/>
              <w:right w:val="single" w:color="000000" w:sz="4" w:space="0"/>
            </w:tcBorders>
            <w:noWrap w:val="0"/>
            <w:vAlign w:val="center"/>
          </w:tcPr>
          <w:p>
            <w:pPr>
              <w:jc w:val="both"/>
              <w:rPr>
                <w:rFonts w:hint="eastAsia" w:ascii="宋体" w:hAnsi="宋体" w:cs="宋体"/>
                <w:color w:val="auto"/>
                <w:kern w:val="0"/>
                <w:sz w:val="18"/>
                <w:szCs w:val="18"/>
                <w:highlight w:val="none"/>
                <w:lang w:bidi="ar"/>
              </w:rPr>
            </w:pPr>
            <w:r>
              <w:rPr>
                <w:rFonts w:hint="eastAsia" w:ascii="宋体" w:hAnsi="宋体" w:cs="宋体"/>
                <w:color w:val="auto"/>
                <w:sz w:val="18"/>
                <w:szCs w:val="18"/>
                <w:highlight w:val="none"/>
                <w:lang w:val="en-US" w:eastAsia="zh-CN"/>
              </w:rPr>
              <w:t>机房空调维修维护</w:t>
            </w:r>
          </w:p>
        </w:tc>
        <w:tc>
          <w:tcPr>
            <w:tcW w:w="823"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color w:val="auto"/>
                <w:sz w:val="18"/>
                <w:szCs w:val="18"/>
                <w:highlight w:val="none"/>
                <w:lang w:val="en-US" w:eastAsia="zh-CN"/>
              </w:rPr>
            </w:pPr>
            <w:r>
              <w:rPr>
                <w:rFonts w:hint="eastAsia" w:ascii="宋体" w:hAnsi="宋体" w:cs="宋体"/>
                <w:color w:val="auto"/>
                <w:sz w:val="18"/>
                <w:szCs w:val="18"/>
                <w:highlight w:val="none"/>
                <w:lang w:val="en-US" w:eastAsia="zh-CN"/>
              </w:rPr>
              <w:t>1</w:t>
            </w:r>
          </w:p>
        </w:tc>
        <w:tc>
          <w:tcPr>
            <w:tcW w:w="760" w:type="dxa"/>
            <w:tcBorders>
              <w:top w:val="single" w:color="000000" w:sz="4" w:space="0"/>
              <w:left w:val="single" w:color="000000" w:sz="4" w:space="0"/>
              <w:bottom w:val="single" w:color="000000" w:sz="4" w:space="0"/>
              <w:right w:val="single" w:color="000000" w:sz="4" w:space="0"/>
            </w:tcBorders>
            <w:noWrap w:val="0"/>
            <w:vAlign w:val="center"/>
          </w:tcPr>
          <w:p>
            <w:pPr>
              <w:jc w:val="center"/>
              <w:rPr>
                <w:rFonts w:hint="eastAsia" w:ascii="宋体" w:hAnsi="宋体" w:eastAsia="宋体" w:cs="宋体"/>
                <w:color w:val="auto"/>
                <w:sz w:val="18"/>
                <w:szCs w:val="18"/>
                <w:highlight w:val="none"/>
                <w:lang w:val="en-US" w:eastAsia="zh-CN"/>
              </w:rPr>
            </w:pPr>
            <w:r>
              <w:rPr>
                <w:rFonts w:hint="eastAsia" w:ascii="宋体" w:hAnsi="宋体" w:cs="宋体"/>
                <w:color w:val="auto"/>
                <w:sz w:val="18"/>
                <w:szCs w:val="18"/>
                <w:highlight w:val="none"/>
                <w:lang w:val="en-US" w:eastAsia="zh-CN"/>
              </w:rPr>
              <w:t>项</w:t>
            </w:r>
          </w:p>
        </w:tc>
      </w:tr>
    </w:tbl>
    <w:p>
      <w:pPr>
        <w:numPr>
          <w:ilvl w:val="0"/>
          <w:numId w:val="0"/>
        </w:numPr>
        <w:spacing w:line="560" w:lineRule="exact"/>
        <w:jc w:val="left"/>
        <w:rPr>
          <w:rFonts w:hint="default" w:ascii="宋体" w:hAnsi="宋体" w:eastAsia="宋体" w:cs="宋体"/>
          <w:b/>
          <w:bCs/>
          <w:color w:val="auto"/>
          <w:sz w:val="24"/>
          <w:highlight w:val="none"/>
          <w:lang w:val="en-US" w:eastAsia="zh-CN"/>
        </w:rPr>
      </w:pPr>
      <w:r>
        <w:rPr>
          <w:rFonts w:hint="eastAsia" w:ascii="宋体" w:hAnsi="宋体" w:cs="宋体"/>
          <w:b/>
          <w:bCs/>
          <w:color w:val="auto"/>
          <w:sz w:val="24"/>
          <w:highlight w:val="none"/>
          <w:lang w:val="en-US" w:eastAsia="zh-CN"/>
        </w:rPr>
        <w:t>五、</w:t>
      </w:r>
      <w:r>
        <w:rPr>
          <w:rFonts w:hint="eastAsia" w:ascii="宋体" w:hAnsi="宋体" w:eastAsia="宋体" w:cs="宋体"/>
          <w:b/>
          <w:bCs/>
          <w:color w:val="auto"/>
          <w:sz w:val="24"/>
          <w:highlight w:val="none"/>
          <w:lang w:val="en-US" w:eastAsia="zh-CN"/>
        </w:rPr>
        <w:t>项目商务</w:t>
      </w:r>
      <w:r>
        <w:rPr>
          <w:rFonts w:hint="eastAsia" w:ascii="宋体" w:hAnsi="宋体" w:cs="宋体"/>
          <w:b/>
          <w:bCs/>
          <w:color w:val="auto"/>
          <w:sz w:val="24"/>
          <w:highlight w:val="none"/>
          <w:lang w:val="en-US" w:eastAsia="zh-CN"/>
        </w:rPr>
        <w:t>要求</w:t>
      </w:r>
    </w:p>
    <w:p>
      <w:pPr>
        <w:pStyle w:val="5"/>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firstLine="480" w:firstLineChars="200"/>
        <w:jc w:val="both"/>
        <w:textAlignment w:val="auto"/>
        <w:rPr>
          <w:rFonts w:hint="eastAsia" w:ascii="宋体" w:hAnsi="宋体" w:eastAsia="宋体" w:cs="宋体"/>
          <w:b w:val="0"/>
          <w:bCs w:val="0"/>
          <w:color w:val="auto"/>
          <w:kern w:val="2"/>
          <w:sz w:val="24"/>
          <w:szCs w:val="24"/>
          <w:highlight w:val="none"/>
          <w:lang w:val="en-US" w:eastAsia="zh-CN" w:bidi="ar-SA"/>
        </w:rPr>
      </w:pPr>
      <w:r>
        <w:rPr>
          <w:rFonts w:hint="eastAsia" w:cs="宋体"/>
          <w:b w:val="0"/>
          <w:bCs w:val="0"/>
          <w:color w:val="auto"/>
          <w:kern w:val="2"/>
          <w:sz w:val="24"/>
          <w:szCs w:val="24"/>
          <w:highlight w:val="none"/>
          <w:lang w:val="en-US" w:eastAsia="zh-CN" w:bidi="ar-SA"/>
        </w:rPr>
        <w:t>1</w:t>
      </w:r>
      <w:r>
        <w:rPr>
          <w:rFonts w:hint="eastAsia" w:eastAsia="宋体" w:cs="宋体"/>
          <w:b w:val="0"/>
          <w:bCs w:val="0"/>
          <w:color w:val="auto"/>
          <w:kern w:val="2"/>
          <w:sz w:val="24"/>
          <w:szCs w:val="24"/>
          <w:highlight w:val="none"/>
          <w:lang w:val="en-US" w:eastAsia="zh-CN" w:bidi="ar-SA"/>
        </w:rPr>
        <w:t>.</w:t>
      </w:r>
      <w:r>
        <w:rPr>
          <w:rFonts w:hint="eastAsia" w:ascii="宋体" w:hAnsi="宋体" w:eastAsia="宋体" w:cs="宋体"/>
          <w:b w:val="0"/>
          <w:bCs w:val="0"/>
          <w:color w:val="auto"/>
          <w:kern w:val="2"/>
          <w:sz w:val="24"/>
          <w:szCs w:val="24"/>
          <w:highlight w:val="none"/>
          <w:lang w:val="en-US" w:eastAsia="zh-CN" w:bidi="ar-SA"/>
        </w:rPr>
        <w:t>采购项目实施地点：宁夏</w:t>
      </w:r>
      <w:r>
        <w:rPr>
          <w:rFonts w:hint="eastAsia" w:eastAsia="宋体" w:cs="宋体"/>
          <w:b w:val="0"/>
          <w:bCs w:val="0"/>
          <w:color w:val="auto"/>
          <w:kern w:val="2"/>
          <w:sz w:val="24"/>
          <w:szCs w:val="24"/>
          <w:highlight w:val="none"/>
          <w:lang w:val="en-US" w:eastAsia="zh-CN" w:bidi="ar-SA"/>
        </w:rPr>
        <w:t>回族自治区</w:t>
      </w:r>
      <w:r>
        <w:rPr>
          <w:rFonts w:hint="eastAsia" w:cs="宋体"/>
          <w:b w:val="0"/>
          <w:bCs w:val="0"/>
          <w:color w:val="auto"/>
          <w:kern w:val="2"/>
          <w:sz w:val="24"/>
          <w:szCs w:val="24"/>
          <w:highlight w:val="none"/>
          <w:lang w:val="en-US" w:eastAsia="zh-CN" w:bidi="ar-SA"/>
        </w:rPr>
        <w:t>银川市</w:t>
      </w:r>
    </w:p>
    <w:p>
      <w:pPr>
        <w:pStyle w:val="5"/>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60" w:lineRule="exact"/>
        <w:ind w:left="0" w:firstLine="480" w:firstLineChars="200"/>
        <w:jc w:val="both"/>
        <w:textAlignment w:val="auto"/>
        <w:rPr>
          <w:rFonts w:hint="default"/>
          <w:color w:val="auto"/>
          <w:highlight w:val="none"/>
          <w:lang w:val="en-US" w:eastAsia="zh-CN"/>
        </w:rPr>
      </w:pPr>
      <w:r>
        <w:rPr>
          <w:rFonts w:hint="eastAsia" w:cs="宋体"/>
          <w:b w:val="0"/>
          <w:bCs w:val="0"/>
          <w:color w:val="auto"/>
          <w:kern w:val="2"/>
          <w:sz w:val="24"/>
          <w:szCs w:val="24"/>
          <w:highlight w:val="none"/>
          <w:lang w:val="en-US" w:eastAsia="zh-CN" w:bidi="ar-SA"/>
        </w:rPr>
        <w:t>2</w:t>
      </w:r>
      <w:r>
        <w:rPr>
          <w:rFonts w:hint="eastAsia" w:eastAsia="宋体" w:cs="宋体"/>
          <w:b w:val="0"/>
          <w:bCs w:val="0"/>
          <w:color w:val="auto"/>
          <w:kern w:val="2"/>
          <w:sz w:val="24"/>
          <w:szCs w:val="24"/>
          <w:highlight w:val="none"/>
          <w:lang w:val="en-US" w:eastAsia="zh-CN" w:bidi="ar-SA"/>
        </w:rPr>
        <w:t>.付款条件：</w:t>
      </w:r>
      <w:r>
        <w:rPr>
          <w:rFonts w:hint="eastAsia" w:cs="宋体"/>
          <w:b w:val="0"/>
          <w:bCs w:val="0"/>
          <w:color w:val="auto"/>
          <w:kern w:val="2"/>
          <w:sz w:val="24"/>
          <w:szCs w:val="24"/>
          <w:highlight w:val="none"/>
          <w:lang w:val="en-US" w:eastAsia="zh-CN" w:bidi="ar-SA"/>
        </w:rPr>
        <w:t>甲方凭货物《中标通知书》《合同》《验收报告》原件及相关资料和货物发票等办理付款事宜。</w:t>
      </w:r>
      <w:r>
        <w:rPr>
          <w:rFonts w:hint="eastAsia"/>
          <w:color w:val="auto"/>
          <w:highlight w:val="none"/>
          <w:lang w:val="en-US" w:eastAsia="zh-CN"/>
        </w:rPr>
        <w:t xml:space="preserve"> </w:t>
      </w:r>
      <w:r>
        <w:rPr>
          <w:rFonts w:hint="eastAsia"/>
          <w:color w:val="auto"/>
          <w:sz w:val="24"/>
          <w:szCs w:val="24"/>
          <w:highlight w:val="none"/>
          <w:lang w:val="en-US" w:eastAsia="zh-CN"/>
        </w:rPr>
        <w:t>合同签订后付合同总价30%，完成安装后付合同总价50%，验收合格后并按甲方要求移交相关项目资料后付合同总价20%。</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200"/>
        <w:textAlignment w:val="auto"/>
        <w:rPr>
          <w:rFonts w:hint="default"/>
          <w:color w:val="auto"/>
          <w:highlight w:val="none"/>
          <w:lang w:val="en-US" w:eastAsia="zh-CN"/>
        </w:rPr>
      </w:pPr>
      <w:r>
        <w:rPr>
          <w:rFonts w:hint="eastAsia"/>
          <w:color w:val="auto"/>
          <w:highlight w:val="none"/>
          <w:lang w:val="en-US" w:eastAsia="zh-CN"/>
        </w:rPr>
        <w:t xml:space="preserve">   </w:t>
      </w:r>
      <w:r>
        <w:rPr>
          <w:rFonts w:hint="eastAsia" w:ascii="宋体" w:hAnsi="宋体" w:eastAsia="宋体" w:cs="宋体"/>
          <w:b w:val="0"/>
          <w:bCs w:val="0"/>
          <w:color w:val="auto"/>
          <w:kern w:val="2"/>
          <w:sz w:val="24"/>
          <w:szCs w:val="24"/>
          <w:highlight w:val="none"/>
          <w:lang w:val="en-US" w:eastAsia="zh-CN" w:bidi="ar-SA"/>
        </w:rPr>
        <w:t>乙方向甲方开具符合国家规定的增值税普通发票，并在甲方支付最后一笔货款之前将所有发票交给甲方。</w:t>
      </w:r>
    </w:p>
    <w:p>
      <w:pPr>
        <w:pStyle w:val="5"/>
        <w:keepNext w:val="0"/>
        <w:keepLines w:val="0"/>
        <w:pageBreakBefore w:val="0"/>
        <w:widowControl/>
        <w:numPr>
          <w:ilvl w:val="0"/>
          <w:numId w:val="6"/>
        </w:numPr>
        <w:suppressLineNumbers w:val="0"/>
        <w:kinsoku/>
        <w:wordWrap/>
        <w:overflowPunct/>
        <w:topLinePunct w:val="0"/>
        <w:autoSpaceDE/>
        <w:autoSpaceDN/>
        <w:bidi w:val="0"/>
        <w:adjustRightInd/>
        <w:snapToGrid/>
        <w:spacing w:before="0" w:beforeAutospacing="0" w:after="0" w:afterAutospacing="0" w:line="560" w:lineRule="exact"/>
        <w:ind w:left="0" w:firstLine="480" w:firstLineChars="200"/>
        <w:jc w:val="both"/>
        <w:textAlignment w:val="auto"/>
        <w:rPr>
          <w:rFonts w:hint="eastAsia" w:ascii="宋体" w:hAnsi="宋体" w:eastAsia="宋体" w:cs="宋体"/>
          <w:b w:val="0"/>
          <w:bCs w:val="0"/>
          <w:color w:val="auto"/>
          <w:kern w:val="2"/>
          <w:sz w:val="24"/>
          <w:szCs w:val="24"/>
          <w:highlight w:val="none"/>
          <w:lang w:val="en-US" w:eastAsia="zh-CN" w:bidi="ar-SA"/>
        </w:rPr>
      </w:pPr>
      <w:r>
        <w:rPr>
          <w:rFonts w:hint="eastAsia" w:eastAsia="宋体" w:cs="宋体"/>
          <w:b w:val="0"/>
          <w:bCs w:val="0"/>
          <w:color w:val="auto"/>
          <w:kern w:val="2"/>
          <w:sz w:val="24"/>
          <w:szCs w:val="24"/>
          <w:highlight w:val="none"/>
          <w:lang w:val="en-US" w:eastAsia="zh-CN" w:bidi="ar-SA"/>
        </w:rPr>
        <w:t>售后服务</w:t>
      </w:r>
      <w:r>
        <w:rPr>
          <w:rFonts w:hint="eastAsia" w:ascii="宋体" w:hAnsi="宋体" w:eastAsia="宋体" w:cs="宋体"/>
          <w:b w:val="0"/>
          <w:bCs w:val="0"/>
          <w:color w:val="auto"/>
          <w:kern w:val="2"/>
          <w:sz w:val="24"/>
          <w:szCs w:val="24"/>
          <w:highlight w:val="none"/>
          <w:lang w:val="en-US" w:eastAsia="zh-CN" w:bidi="ar-SA"/>
        </w:rPr>
        <w:t>承诺</w:t>
      </w:r>
      <w:r>
        <w:rPr>
          <w:rFonts w:hint="eastAsia" w:eastAsia="宋体" w:cs="宋体"/>
          <w:b w:val="0"/>
          <w:bCs w:val="0"/>
          <w:color w:val="auto"/>
          <w:kern w:val="2"/>
          <w:sz w:val="24"/>
          <w:szCs w:val="24"/>
          <w:highlight w:val="none"/>
          <w:lang w:val="en-US" w:eastAsia="zh-CN" w:bidi="ar-SA"/>
        </w:rPr>
        <w:t>：提供3年质保期，</w:t>
      </w:r>
      <w:r>
        <w:rPr>
          <w:rFonts w:hint="eastAsia" w:ascii="宋体" w:hAnsi="宋体" w:eastAsia="宋体" w:cs="宋体"/>
          <w:b w:val="0"/>
          <w:bCs w:val="0"/>
          <w:color w:val="auto"/>
          <w:kern w:val="2"/>
          <w:sz w:val="24"/>
          <w:szCs w:val="24"/>
          <w:highlight w:val="none"/>
          <w:lang w:val="en-US" w:eastAsia="zh-CN" w:bidi="ar-SA"/>
        </w:rPr>
        <w:t>中标人应主动向采购人提供《售后服务承诺》，在项目实施完成一年内，中标人应在《售后服务承诺》的范围内积极配合采购人开展后续工作。</w:t>
      </w:r>
    </w:p>
    <w:p>
      <w:pPr>
        <w:keepNext w:val="0"/>
        <w:keepLines w:val="0"/>
        <w:pageBreakBefore w:val="0"/>
        <w:numPr>
          <w:ilvl w:val="0"/>
          <w:numId w:val="0"/>
        </w:numPr>
        <w:kinsoku/>
        <w:wordWrap/>
        <w:overflowPunct/>
        <w:topLinePunct w:val="0"/>
        <w:autoSpaceDE/>
        <w:autoSpaceDN/>
        <w:bidi w:val="0"/>
        <w:adjustRightInd/>
        <w:snapToGrid/>
        <w:spacing w:line="560" w:lineRule="exact"/>
        <w:ind w:firstLine="480" w:firstLineChars="200"/>
        <w:textAlignment w:val="auto"/>
        <w:rPr>
          <w:rFonts w:hint="default"/>
          <w:color w:val="auto"/>
          <w:sz w:val="24"/>
          <w:szCs w:val="32"/>
          <w:highlight w:val="none"/>
          <w:lang w:val="en-US" w:eastAsia="zh-CN"/>
        </w:rPr>
      </w:pPr>
      <w:r>
        <w:rPr>
          <w:rFonts w:hint="eastAsia"/>
          <w:color w:val="auto"/>
          <w:sz w:val="24"/>
          <w:szCs w:val="32"/>
          <w:highlight w:val="none"/>
          <w:lang w:val="en-US" w:eastAsia="zh-CN"/>
        </w:rPr>
        <w:t>乙方负责货物的供应、运输、安装调试、免费培训、售后服务</w:t>
      </w:r>
    </w:p>
    <w:p>
      <w:bookmarkStart w:id="7" w:name="_GoBack"/>
      <w:bookmarkEnd w:id="7"/>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auto"/>
    <w:pitch w:val="default"/>
    <w:sig w:usb0="E0002EFF" w:usb1="C000785B" w:usb2="00000009" w:usb3="00000000" w:csb0="400001FF" w:csb1="FFFF0000"/>
  </w:font>
  <w:font w:name="宋体">
    <w:panose1 w:val="02010600030101010101"/>
    <w:charset w:val="81"/>
    <w:family w:val="roma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仿宋_GB2312">
    <w:altName w:val="仿宋"/>
    <w:panose1 w:val="02010609030101010101"/>
    <w:charset w:val="86"/>
    <w:family w:val="auto"/>
    <w:pitch w:val="default"/>
    <w:sig w:usb0="00000000" w:usb1="0000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DE87CF4"/>
    <w:multiLevelType w:val="singleLevel"/>
    <w:tmpl w:val="9DE87CF4"/>
    <w:lvl w:ilvl="0" w:tentative="0">
      <w:start w:val="1"/>
      <w:numFmt w:val="decimal"/>
      <w:suff w:val="nothing"/>
      <w:lvlText w:val="%1、"/>
      <w:lvlJc w:val="left"/>
    </w:lvl>
  </w:abstractNum>
  <w:abstractNum w:abstractNumId="1">
    <w:nsid w:val="AC3A8D54"/>
    <w:multiLevelType w:val="multilevel"/>
    <w:tmpl w:val="AC3A8D54"/>
    <w:lvl w:ilvl="0" w:tentative="0">
      <w:start w:val="1"/>
      <w:numFmt w:val="decimal"/>
      <w:suff w:val="nothing"/>
      <w:lvlText w:val="%1）"/>
      <w:lvlJc w:val="left"/>
      <w:pPr>
        <w:ind w:left="-60" w:hanging="360"/>
      </w:pPr>
      <w:rPr>
        <w:rFonts w:hint="default"/>
      </w:rPr>
    </w:lvl>
    <w:lvl w:ilvl="1" w:tentative="0">
      <w:start w:val="1"/>
      <w:numFmt w:val="lowerLetter"/>
      <w:lvlText w:val="%2)"/>
      <w:lvlJc w:val="left"/>
      <w:pPr>
        <w:tabs>
          <w:tab w:val="left" w:pos="-420"/>
        </w:tabs>
        <w:ind w:left="420" w:hanging="420"/>
      </w:pPr>
    </w:lvl>
    <w:lvl w:ilvl="2" w:tentative="0">
      <w:start w:val="1"/>
      <w:numFmt w:val="lowerRoman"/>
      <w:lvlText w:val="%3."/>
      <w:lvlJc w:val="right"/>
      <w:pPr>
        <w:tabs>
          <w:tab w:val="left" w:pos="-420"/>
        </w:tabs>
        <w:ind w:left="840" w:hanging="420"/>
      </w:pPr>
    </w:lvl>
    <w:lvl w:ilvl="3" w:tentative="0">
      <w:start w:val="1"/>
      <w:numFmt w:val="decimal"/>
      <w:lvlText w:val="%4."/>
      <w:lvlJc w:val="left"/>
      <w:pPr>
        <w:tabs>
          <w:tab w:val="left" w:pos="-420"/>
        </w:tabs>
        <w:ind w:left="1260" w:hanging="420"/>
      </w:pPr>
    </w:lvl>
    <w:lvl w:ilvl="4" w:tentative="0">
      <w:start w:val="1"/>
      <w:numFmt w:val="lowerLetter"/>
      <w:lvlText w:val="%5)"/>
      <w:lvlJc w:val="left"/>
      <w:pPr>
        <w:tabs>
          <w:tab w:val="left" w:pos="-420"/>
        </w:tabs>
        <w:ind w:left="1680" w:hanging="420"/>
      </w:pPr>
    </w:lvl>
    <w:lvl w:ilvl="5" w:tentative="0">
      <w:start w:val="1"/>
      <w:numFmt w:val="lowerRoman"/>
      <w:lvlText w:val="%6."/>
      <w:lvlJc w:val="right"/>
      <w:pPr>
        <w:tabs>
          <w:tab w:val="left" w:pos="-420"/>
        </w:tabs>
        <w:ind w:left="2100" w:hanging="420"/>
      </w:pPr>
    </w:lvl>
    <w:lvl w:ilvl="6" w:tentative="0">
      <w:start w:val="1"/>
      <w:numFmt w:val="decimal"/>
      <w:lvlText w:val="%7."/>
      <w:lvlJc w:val="left"/>
      <w:pPr>
        <w:tabs>
          <w:tab w:val="left" w:pos="-420"/>
        </w:tabs>
        <w:ind w:left="2520" w:hanging="420"/>
      </w:pPr>
    </w:lvl>
    <w:lvl w:ilvl="7" w:tentative="0">
      <w:start w:val="1"/>
      <w:numFmt w:val="lowerLetter"/>
      <w:lvlText w:val="%8)"/>
      <w:lvlJc w:val="left"/>
      <w:pPr>
        <w:tabs>
          <w:tab w:val="left" w:pos="-420"/>
        </w:tabs>
        <w:ind w:left="2940" w:hanging="420"/>
      </w:pPr>
    </w:lvl>
    <w:lvl w:ilvl="8" w:tentative="0">
      <w:start w:val="1"/>
      <w:numFmt w:val="lowerRoman"/>
      <w:lvlText w:val="%9."/>
      <w:lvlJc w:val="right"/>
      <w:pPr>
        <w:tabs>
          <w:tab w:val="left" w:pos="-420"/>
        </w:tabs>
        <w:ind w:left="3360" w:hanging="420"/>
      </w:pPr>
    </w:lvl>
  </w:abstractNum>
  <w:abstractNum w:abstractNumId="2">
    <w:nsid w:val="FB492408"/>
    <w:multiLevelType w:val="singleLevel"/>
    <w:tmpl w:val="FB492408"/>
    <w:lvl w:ilvl="0" w:tentative="0">
      <w:start w:val="3"/>
      <w:numFmt w:val="decimal"/>
      <w:lvlText w:val="%1."/>
      <w:lvlJc w:val="left"/>
      <w:pPr>
        <w:tabs>
          <w:tab w:val="left" w:pos="312"/>
        </w:tabs>
      </w:pPr>
    </w:lvl>
  </w:abstractNum>
  <w:abstractNum w:abstractNumId="3">
    <w:nsid w:val="28242747"/>
    <w:multiLevelType w:val="multilevel"/>
    <w:tmpl w:val="28242747"/>
    <w:lvl w:ilvl="0" w:tentative="0">
      <w:start w:val="1"/>
      <w:numFmt w:val="bullet"/>
      <w:lvlText w:val=""/>
      <w:lvlJc w:val="left"/>
      <w:pPr>
        <w:ind w:left="1271" w:hanging="420"/>
      </w:pPr>
      <w:rPr>
        <w:rFonts w:hint="default" w:ascii="Wingdings" w:hAnsi="Wingdings"/>
      </w:rPr>
    </w:lvl>
    <w:lvl w:ilvl="1" w:tentative="0">
      <w:start w:val="1"/>
      <w:numFmt w:val="bullet"/>
      <w:lvlText w:val=""/>
      <w:lvlJc w:val="left"/>
      <w:pPr>
        <w:ind w:left="1825" w:hanging="420"/>
      </w:pPr>
      <w:rPr>
        <w:rFonts w:hint="default" w:ascii="Wingdings" w:hAnsi="Wingdings"/>
      </w:rPr>
    </w:lvl>
    <w:lvl w:ilvl="2" w:tentative="0">
      <w:start w:val="1"/>
      <w:numFmt w:val="bullet"/>
      <w:lvlText w:val=""/>
      <w:lvlJc w:val="left"/>
      <w:pPr>
        <w:ind w:left="2245" w:hanging="420"/>
      </w:pPr>
      <w:rPr>
        <w:rFonts w:hint="default" w:ascii="Wingdings" w:hAnsi="Wingdings"/>
      </w:rPr>
    </w:lvl>
    <w:lvl w:ilvl="3" w:tentative="0">
      <w:start w:val="1"/>
      <w:numFmt w:val="bullet"/>
      <w:lvlText w:val=""/>
      <w:lvlJc w:val="left"/>
      <w:pPr>
        <w:ind w:left="2665" w:hanging="420"/>
      </w:pPr>
      <w:rPr>
        <w:rFonts w:hint="default" w:ascii="Wingdings" w:hAnsi="Wingdings"/>
      </w:rPr>
    </w:lvl>
    <w:lvl w:ilvl="4" w:tentative="0">
      <w:start w:val="1"/>
      <w:numFmt w:val="bullet"/>
      <w:lvlText w:val=""/>
      <w:lvlJc w:val="left"/>
      <w:pPr>
        <w:ind w:left="3085" w:hanging="420"/>
      </w:pPr>
      <w:rPr>
        <w:rFonts w:hint="default" w:ascii="Wingdings" w:hAnsi="Wingdings"/>
      </w:rPr>
    </w:lvl>
    <w:lvl w:ilvl="5" w:tentative="0">
      <w:start w:val="1"/>
      <w:numFmt w:val="bullet"/>
      <w:lvlText w:val=""/>
      <w:lvlJc w:val="left"/>
      <w:pPr>
        <w:ind w:left="3505" w:hanging="420"/>
      </w:pPr>
      <w:rPr>
        <w:rFonts w:hint="default" w:ascii="Wingdings" w:hAnsi="Wingdings"/>
      </w:rPr>
    </w:lvl>
    <w:lvl w:ilvl="6" w:tentative="0">
      <w:start w:val="1"/>
      <w:numFmt w:val="bullet"/>
      <w:lvlText w:val=""/>
      <w:lvlJc w:val="left"/>
      <w:pPr>
        <w:ind w:left="3925" w:hanging="420"/>
      </w:pPr>
      <w:rPr>
        <w:rFonts w:hint="default" w:ascii="Wingdings" w:hAnsi="Wingdings"/>
      </w:rPr>
    </w:lvl>
    <w:lvl w:ilvl="7" w:tentative="0">
      <w:start w:val="1"/>
      <w:numFmt w:val="bullet"/>
      <w:lvlText w:val=""/>
      <w:lvlJc w:val="left"/>
      <w:pPr>
        <w:ind w:left="4345" w:hanging="420"/>
      </w:pPr>
      <w:rPr>
        <w:rFonts w:hint="default" w:ascii="Wingdings" w:hAnsi="Wingdings"/>
      </w:rPr>
    </w:lvl>
    <w:lvl w:ilvl="8" w:tentative="0">
      <w:start w:val="1"/>
      <w:numFmt w:val="bullet"/>
      <w:lvlText w:val=""/>
      <w:lvlJc w:val="left"/>
      <w:pPr>
        <w:ind w:left="4765" w:hanging="420"/>
      </w:pPr>
      <w:rPr>
        <w:rFonts w:hint="default" w:ascii="Wingdings" w:hAnsi="Wingdings"/>
      </w:rPr>
    </w:lvl>
  </w:abstractNum>
  <w:abstractNum w:abstractNumId="4">
    <w:nsid w:val="5201CF44"/>
    <w:multiLevelType w:val="singleLevel"/>
    <w:tmpl w:val="5201CF44"/>
    <w:lvl w:ilvl="0" w:tentative="0">
      <w:start w:val="1"/>
      <w:numFmt w:val="decimal"/>
      <w:suff w:val="nothing"/>
      <w:lvlText w:val="%1、"/>
      <w:lvlJc w:val="left"/>
    </w:lvl>
  </w:abstractNum>
  <w:abstractNum w:abstractNumId="5">
    <w:nsid w:val="59072290"/>
    <w:multiLevelType w:val="multilevel"/>
    <w:tmpl w:val="59072290"/>
    <w:lvl w:ilvl="0" w:tentative="0">
      <w:start w:val="1"/>
      <w:numFmt w:val="bullet"/>
      <w:lvlText w:val=""/>
      <w:lvlJc w:val="left"/>
      <w:pPr>
        <w:ind w:left="900" w:hanging="420"/>
      </w:pPr>
      <w:rPr>
        <w:rFonts w:hint="default" w:ascii="Wingdings" w:hAnsi="Wingdings"/>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num w:numId="1">
    <w:abstractNumId w:val="1"/>
  </w:num>
  <w:num w:numId="2">
    <w:abstractNumId w:val="5"/>
  </w:num>
  <w:num w:numId="3">
    <w:abstractNumId w:val="3"/>
  </w:num>
  <w:num w:numId="4">
    <w:abstractNumId w:val="0"/>
  </w:num>
  <w:num w:numId="5">
    <w:abstractNumId w:val="4"/>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IzZjE4ODc5YTdjMGI3OTBlZmNiM2ExNGEyNzdjNjMifQ=="/>
  </w:docVars>
  <w:rsids>
    <w:rsidRoot w:val="7D5A2FF2"/>
    <w:rsid w:val="7D5A2FF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qFormat/>
    <w:uiPriority w:val="0"/>
    <w:pPr>
      <w:keepNext/>
      <w:keepLines/>
      <w:autoSpaceDE w:val="0"/>
      <w:autoSpaceDN w:val="0"/>
      <w:adjustRightInd w:val="0"/>
      <w:spacing w:before="360" w:beforeLines="0" w:after="120" w:afterLines="0"/>
      <w:jc w:val="left"/>
      <w:outlineLvl w:val="2"/>
    </w:pPr>
    <w:rPr>
      <w:rFonts w:ascii="宋体"/>
      <w:b/>
      <w:kern w:val="0"/>
      <w:sz w:val="24"/>
      <w:szCs w:val="20"/>
      <w:u w:val="single"/>
    </w:rPr>
  </w:style>
  <w:style w:type="character" w:default="1" w:styleId="7">
    <w:name w:val="Default Paragraph Font"/>
    <w:autoRedefine/>
    <w:semiHidden/>
    <w:qFormat/>
    <w:uiPriority w:val="0"/>
  </w:style>
  <w:style w:type="table" w:default="1" w:styleId="6">
    <w:name w:val="Normal Table"/>
    <w:semiHidden/>
    <w:uiPriority w:val="0"/>
    <w:tblPr>
      <w:tblCellMar>
        <w:top w:w="0" w:type="dxa"/>
        <w:left w:w="108" w:type="dxa"/>
        <w:bottom w:w="0" w:type="dxa"/>
        <w:right w:w="108" w:type="dxa"/>
      </w:tblCellMar>
    </w:tblPr>
  </w:style>
  <w:style w:type="paragraph" w:styleId="4">
    <w:name w:val="Body Text"/>
    <w:basedOn w:val="1"/>
    <w:next w:val="1"/>
    <w:qFormat/>
    <w:uiPriority w:val="0"/>
    <w:pPr>
      <w:tabs>
        <w:tab w:val="left" w:pos="567"/>
      </w:tabs>
      <w:spacing w:before="120" w:beforeLines="0" w:line="22" w:lineRule="atLeast"/>
    </w:pPr>
    <w:rPr>
      <w:rFonts w:ascii="宋体" w:hAnsi="宋体"/>
      <w:sz w:val="24"/>
    </w:rPr>
  </w:style>
  <w:style w:type="paragraph" w:styleId="5">
    <w:name w:val="Normal (Web)"/>
    <w:basedOn w:val="1"/>
    <w:next w:val="1"/>
    <w:qFormat/>
    <w:uiPriority w:val="99"/>
    <w:pPr>
      <w:widowControl/>
      <w:spacing w:beforeAutospacing="1" w:afterAutospacing="1"/>
      <w:jc w:val="left"/>
    </w:pPr>
    <w:rPr>
      <w:rFonts w:hint="eastAsia" w:ascii="宋体" w:hAnsi="宋体"/>
      <w:sz w:val="24"/>
      <w:szCs w:val="20"/>
    </w:rPr>
  </w:style>
  <w:style w:type="paragraph" w:customStyle="1" w:styleId="8">
    <w:name w:val="List Paragraph"/>
    <w:basedOn w:val="1"/>
    <w:autoRedefine/>
    <w:qFormat/>
    <w:uiPriority w:val="0"/>
    <w:pPr>
      <w:ind w:firstLine="420" w:firstLineChars="200"/>
    </w:pPr>
    <w:rPr>
      <w:rFonts w:ascii="Calibri" w:hAnsi="Calibri"/>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6.emf"/><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numbering" Target="numbering.xml"/><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Office_12.1.0.16417_F1E327BC-269C-435d-A152-05C5408002CA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2024-04-01T02:50:00Z</dcterms:created>
  <dc:creator>Administrator</dc:creator>
  <cp:lastModifiedBy>Administrator</cp:lastModifiedBy>
  <dcterms:modified xsi:type="dcterms:W3CDTF">2024-04-01T02:51:02Z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2052-12.1.0.16417</vt:lpwstr>
  </property>
  <property fmtid="{D5CDD505-2E9C-101B-9397-08002B2CF9AE}" pid="3" name="ICV">
    <vt:lpwstr>5656EDAECF534E9C997042839F799638_11</vt:lpwstr>
  </property>
</Properties>
</file>