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9DB3EA">
      <w:pPr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总 说 明</w:t>
      </w:r>
    </w:p>
    <w:p w14:paraId="3B20E754">
      <w:pPr>
        <w:keepNext w:val="0"/>
        <w:keepLines w:val="0"/>
        <w:widowControl/>
        <w:suppressLineNumbers w:val="0"/>
        <w:jc w:val="left"/>
        <w:rPr>
          <w:rFonts w:hint="eastAsia" w:ascii="宋体" w:hAnsi="宋体" w:eastAsiaTheme="minorEastAsia"/>
          <w:b/>
          <w:color w:val="000000"/>
          <w:szCs w:val="21"/>
          <w:lang w:val="en-US" w:eastAsia="zh-CN"/>
        </w:rPr>
      </w:pPr>
      <w:r>
        <w:rPr>
          <w:rFonts w:hint="eastAsia" w:ascii="宋体" w:hAnsi="宋体"/>
          <w:b/>
          <w:color w:val="000000"/>
          <w:szCs w:val="21"/>
        </w:rPr>
        <w:t>工程名称：宁夏大学朔方校区东门口路面修缮项目</w:t>
      </w:r>
    </w:p>
    <w:tbl>
      <w:tblPr>
        <w:tblStyle w:val="4"/>
        <w:tblW w:w="9001" w:type="dxa"/>
        <w:tblInd w:w="-1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1"/>
      </w:tblGrid>
      <w:tr w14:paraId="4093F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6" w:hRule="atLeast"/>
        </w:trPr>
        <w:tc>
          <w:tcPr>
            <w:tcW w:w="9001" w:type="dxa"/>
          </w:tcPr>
          <w:p w14:paraId="71A11131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1"/>
              <w:textAlignment w:val="auto"/>
              <w:rPr>
                <w:rFonts w:hint="default" w:ascii="宋体" w:hAnsi="宋体" w:eastAsiaTheme="minorEastAsia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2"/>
                <w:szCs w:val="22"/>
              </w:rPr>
              <w:t>工程概况：</w:t>
            </w:r>
          </w:p>
          <w:p w14:paraId="52F11008">
            <w:pPr>
              <w:keepNext w:val="0"/>
              <w:keepLines w:val="0"/>
              <w:pageBreakBefore w:val="0"/>
              <w:tabs>
                <w:tab w:val="left" w:pos="324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1" w:firstLine="440" w:firstLineChars="200"/>
              <w:textAlignment w:val="auto"/>
              <w:rPr>
                <w:rFonts w:hint="default" w:ascii="宋体" w:hAnsi="宋体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宁夏大学朔方校区东门口路面修缮项目</w:t>
            </w:r>
            <w:r>
              <w:rPr>
                <w:rFonts w:hint="eastAsia" w:ascii="宋体" w:hAnsi="宋体"/>
                <w:sz w:val="24"/>
                <w:szCs w:val="24"/>
                <w:u w:val="none"/>
              </w:rPr>
              <w:t>建设内容包括拆除</w:t>
            </w:r>
            <w:r>
              <w:rPr>
                <w:rFonts w:hint="eastAsia" w:ascii="宋体" w:hAnsi="宋体"/>
                <w:sz w:val="24"/>
                <w:szCs w:val="24"/>
                <w:u w:val="none"/>
                <w:lang w:val="en-US" w:eastAsia="zh-CN"/>
              </w:rPr>
              <w:t>现有道路、道牙、减速带、路灯等，新做沥青路、花岗岩道牙、橡胶减速带、新安装路灯及其基础配管配线、道路标线，原人脸识别系统、车禁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  <w:szCs w:val="24"/>
                <w:u w:val="none"/>
                <w:lang w:val="en-US" w:eastAsia="zh-CN"/>
              </w:rPr>
              <w:t>系统及栏杆安装</w:t>
            </w:r>
            <w:r>
              <w:rPr>
                <w:rFonts w:hint="eastAsia" w:ascii="宋体" w:hAnsi="宋体"/>
                <w:sz w:val="24"/>
                <w:szCs w:val="24"/>
                <w:u w:val="none"/>
              </w:rPr>
              <w:t>等</w:t>
            </w:r>
            <w:r>
              <w:rPr>
                <w:rFonts w:hint="eastAsia" w:ascii="宋体" w:hAnsi="宋体"/>
                <w:sz w:val="22"/>
                <w:szCs w:val="22"/>
                <w:highlight w:val="none"/>
                <w:u w:val="none"/>
                <w:lang w:val="en-US" w:eastAsia="zh-CN"/>
              </w:rPr>
              <w:t>。</w:t>
            </w:r>
          </w:p>
          <w:p w14:paraId="004A9737">
            <w:pPr>
              <w:keepNext w:val="0"/>
              <w:keepLines w:val="0"/>
              <w:pageBreakBefore w:val="0"/>
              <w:tabs>
                <w:tab w:val="left" w:pos="324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1"/>
              <w:textAlignment w:val="auto"/>
              <w:rPr>
                <w:rFonts w:ascii="宋体" w:hAnsi="宋体"/>
                <w:b/>
                <w:color w:val="FF000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2"/>
                <w:szCs w:val="22"/>
                <w:lang w:val="en-US" w:eastAsia="zh-CN"/>
              </w:rPr>
              <w:t>二</w:t>
            </w:r>
            <w:r>
              <w:rPr>
                <w:rFonts w:hint="eastAsia" w:ascii="宋体" w:hAnsi="宋体"/>
                <w:b/>
                <w:bCs w:val="0"/>
                <w:color w:val="auto"/>
                <w:sz w:val="22"/>
                <w:szCs w:val="22"/>
              </w:rPr>
              <w:t>、编制范围：</w:t>
            </w:r>
            <w:r>
              <w:rPr>
                <w:rFonts w:ascii="宋体" w:hAnsi="宋体"/>
                <w:b/>
                <w:color w:val="FF0000"/>
                <w:sz w:val="22"/>
                <w:szCs w:val="22"/>
              </w:rPr>
              <w:tab/>
            </w:r>
          </w:p>
          <w:p w14:paraId="3A30D6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550" w:firstLineChars="250"/>
              <w:textAlignment w:val="auto"/>
              <w:rPr>
                <w:rFonts w:hint="eastAsia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详见招标文件中“招标范围须知”。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ab/>
            </w:r>
          </w:p>
          <w:p w14:paraId="0A63EF8A">
            <w:pPr>
              <w:keepNext w:val="0"/>
              <w:keepLines w:val="0"/>
              <w:pageBreakBefore w:val="0"/>
              <w:tabs>
                <w:tab w:val="left" w:pos="324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1"/>
              <w:textAlignment w:val="auto"/>
              <w:rPr>
                <w:rFonts w:hint="eastAsia" w:ascii="宋体" w:hAnsi="宋体" w:eastAsiaTheme="minorEastAsia"/>
                <w:b/>
                <w:bCs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2"/>
                <w:szCs w:val="22"/>
                <w:lang w:val="en-US" w:eastAsia="zh-CN"/>
              </w:rPr>
              <w:t>三</w:t>
            </w:r>
            <w:r>
              <w:rPr>
                <w:rFonts w:hint="eastAsia" w:ascii="宋体" w:hAnsi="宋体"/>
                <w:b/>
                <w:bCs w:val="0"/>
                <w:color w:val="auto"/>
                <w:sz w:val="22"/>
                <w:szCs w:val="22"/>
              </w:rPr>
              <w:t>、编制依据：</w:t>
            </w:r>
            <w:r>
              <w:rPr>
                <w:rFonts w:hint="eastAsia" w:ascii="宋体" w:hAnsi="宋体"/>
                <w:b/>
                <w:bCs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</w:p>
          <w:p w14:paraId="647F59E5">
            <w:pPr>
              <w:keepNext w:val="0"/>
              <w:keepLines w:val="0"/>
              <w:pageBreakBefore w:val="0"/>
              <w:tabs>
                <w:tab w:val="left" w:pos="324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1"/>
              <w:textAlignment w:val="auto"/>
              <w:rPr>
                <w:rFonts w:hint="eastAsia" w:ascii="宋体" w:hAnsi="宋体"/>
                <w:bCs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2"/>
                <w:szCs w:val="22"/>
                <w:lang w:val="en-US" w:eastAsia="zh-CN"/>
              </w:rPr>
              <w:t xml:space="preserve">    1.《建设工程工程量清单计价规范》(GB50500-2013)、《通用安装工程工程量清单计算规范》(GB50856-2013)及《房屋建筑及装饰工程工程量计算规范》(GB50854-2013)、《宁夏回族自治区建设工程工程量清单计价规范实施办法》</w:t>
            </w:r>
            <w:r>
              <w:rPr>
                <w:rFonts w:hint="eastAsia"/>
                <w:u w:val="none"/>
              </w:rPr>
              <w:t>《</w:t>
            </w:r>
            <w:r>
              <w:rPr>
                <w:rFonts w:hint="eastAsia" w:ascii="宋体" w:hAnsi="宋体"/>
                <w:bCs/>
                <w:sz w:val="22"/>
                <w:szCs w:val="22"/>
                <w:lang w:val="en-US" w:eastAsia="zh-CN"/>
              </w:rPr>
              <w:t>宁夏回族自治区建设工程造价计价依据</w:t>
            </w:r>
            <w:r>
              <w:rPr>
                <w:rFonts w:hint="eastAsia"/>
                <w:u w:val="none"/>
              </w:rPr>
              <w:t>》</w:t>
            </w:r>
            <w:r>
              <w:rPr>
                <w:rFonts w:hint="eastAsia" w:ascii="宋体" w:hAnsi="宋体"/>
                <w:bCs/>
                <w:sz w:val="22"/>
                <w:szCs w:val="22"/>
                <w:lang w:val="en-US" w:eastAsia="zh-CN"/>
              </w:rPr>
              <w:t>（2019版）</w:t>
            </w:r>
            <w:r>
              <w:rPr>
                <w:rFonts w:hint="eastAsia" w:ascii="宋体" w:hAnsi="宋体"/>
                <w:bCs/>
                <w:sz w:val="22"/>
                <w:szCs w:val="22"/>
                <w:u w:val="none"/>
                <w:lang w:val="en-US" w:eastAsia="zh-CN"/>
              </w:rPr>
              <w:t>；</w:t>
            </w:r>
          </w:p>
          <w:p w14:paraId="2AA8962C">
            <w:pPr>
              <w:keepNext w:val="0"/>
              <w:keepLines w:val="0"/>
              <w:pageBreakBefore w:val="0"/>
              <w:tabs>
                <w:tab w:val="left" w:pos="324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1" w:firstLine="440" w:firstLineChars="200"/>
              <w:textAlignment w:val="auto"/>
              <w:rPr>
                <w:rFonts w:hint="eastAsia" w:ascii="宋体" w:hAnsi="宋体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2"/>
                <w:szCs w:val="22"/>
                <w:lang w:val="en-US" w:eastAsia="zh-CN"/>
              </w:rPr>
              <w:t>2.与本工程有关的标准（包括标准图集）、规范、技术资料。</w:t>
            </w:r>
          </w:p>
          <w:p w14:paraId="7C8F3A0D">
            <w:pPr>
              <w:keepNext w:val="0"/>
              <w:keepLines w:val="0"/>
              <w:pageBreakBefore w:val="0"/>
              <w:tabs>
                <w:tab w:val="left" w:pos="324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1"/>
              <w:textAlignment w:val="auto"/>
              <w:rPr>
                <w:rFonts w:hint="default" w:ascii="宋体" w:hAnsi="宋体" w:eastAsiaTheme="minorEastAsia"/>
                <w:b/>
                <w:bCs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2"/>
                <w:szCs w:val="22"/>
                <w:lang w:val="en-US" w:eastAsia="zh-CN"/>
              </w:rPr>
              <w:t>四</w:t>
            </w:r>
            <w:r>
              <w:rPr>
                <w:rFonts w:hint="eastAsia" w:ascii="宋体" w:hAnsi="宋体"/>
                <w:b/>
                <w:bCs w:val="0"/>
                <w:color w:val="auto"/>
                <w:sz w:val="22"/>
                <w:szCs w:val="22"/>
              </w:rPr>
              <w:t>、</w:t>
            </w:r>
            <w:r>
              <w:rPr>
                <w:rFonts w:hint="eastAsia" w:ascii="宋体" w:hAnsi="宋体"/>
                <w:b/>
                <w:bCs w:val="0"/>
                <w:color w:val="auto"/>
                <w:sz w:val="22"/>
                <w:szCs w:val="22"/>
                <w:lang w:eastAsia="zh-CN"/>
              </w:rPr>
              <w:t>取费：</w:t>
            </w:r>
          </w:p>
          <w:p w14:paraId="338E8D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2"/>
                <w:szCs w:val="22"/>
                <w:lang w:val="en-US" w:eastAsia="zh-CN"/>
              </w:rPr>
              <w:t xml:space="preserve">    1.取费类别：一般建筑三类工程计取；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 xml:space="preserve">  </w:t>
            </w:r>
          </w:p>
          <w:p w14:paraId="327520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 xml:space="preserve">    2.税金：按增值税税率9%计取。</w:t>
            </w:r>
          </w:p>
          <w:p w14:paraId="18B7B006">
            <w:pPr>
              <w:keepNext w:val="0"/>
              <w:keepLines w:val="0"/>
              <w:pageBreakBefore w:val="0"/>
              <w:tabs>
                <w:tab w:val="left" w:pos="324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/>
                <w:b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2"/>
                <w:szCs w:val="22"/>
                <w:lang w:val="en-US" w:eastAsia="zh-CN"/>
              </w:rPr>
              <w:t>五</w:t>
            </w:r>
            <w:r>
              <w:rPr>
                <w:rFonts w:hint="eastAsia" w:ascii="宋体" w:hAnsi="宋体"/>
                <w:b/>
                <w:bCs w:val="0"/>
                <w:color w:val="auto"/>
                <w:sz w:val="22"/>
                <w:szCs w:val="22"/>
              </w:rPr>
              <w:t>、其它编制说明：</w:t>
            </w:r>
          </w:p>
          <w:p w14:paraId="72B1E721">
            <w:pPr>
              <w:keepNext w:val="0"/>
              <w:keepLines w:val="0"/>
              <w:pageBreakBefore w:val="0"/>
              <w:tabs>
                <w:tab w:val="left" w:pos="324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41"/>
              <w:textAlignment w:val="auto"/>
              <w:rPr>
                <w:rFonts w:hint="eastAsia" w:ascii="宋体" w:hAnsi="宋体"/>
                <w:b w:val="0"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2"/>
                <w:szCs w:val="22"/>
                <w:lang w:val="en-US" w:eastAsia="zh-CN"/>
              </w:rPr>
              <w:t>1.暂列金额、暂估价详见各单位工程工程量清单-表12-1、表12-2、表12-3；</w:t>
            </w:r>
          </w:p>
          <w:p w14:paraId="04C69AE8">
            <w:pPr>
              <w:keepNext w:val="0"/>
              <w:keepLines w:val="0"/>
              <w:pageBreakBefore w:val="0"/>
              <w:tabs>
                <w:tab w:val="left" w:pos="324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40" w:firstLineChars="200"/>
              <w:textAlignment w:val="auto"/>
              <w:rPr>
                <w:rFonts w:hint="eastAsia" w:ascii="宋体" w:hAnsi="宋体"/>
                <w:b/>
                <w:color w:val="000000"/>
                <w:szCs w:val="21"/>
                <w:vertAlign w:val="baseli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2"/>
                <w:szCs w:val="22"/>
                <w:lang w:val="en-US" w:eastAsia="zh-CN"/>
              </w:rPr>
              <w:t>2</w:t>
            </w:r>
            <w:r>
              <w:rPr>
                <w:rFonts w:hint="default" w:ascii="宋体" w:hAnsi="宋体"/>
                <w:b w:val="0"/>
                <w:bCs/>
                <w:color w:val="auto"/>
                <w:sz w:val="22"/>
                <w:szCs w:val="22"/>
                <w:lang w:val="en-US" w:eastAsia="zh-CN"/>
              </w:rPr>
              <w:t>.本说明未尽事项，以计价规范、工程量计算规则、计价管理办法及有关的法律、法规、建设行政主管部门颁发的文件为准</w:t>
            </w:r>
            <w:r>
              <w:rPr>
                <w:rFonts w:hint="eastAsia" w:ascii="宋体" w:hAnsi="宋体"/>
                <w:b w:val="0"/>
                <w:bCs/>
                <w:color w:val="auto"/>
                <w:sz w:val="22"/>
                <w:szCs w:val="22"/>
                <w:lang w:val="en-US" w:eastAsia="zh-CN"/>
              </w:rPr>
              <w:t>。</w:t>
            </w:r>
          </w:p>
        </w:tc>
      </w:tr>
    </w:tbl>
    <w:p w14:paraId="2E5A21FD">
      <w:pPr>
        <w:tabs>
          <w:tab w:val="left" w:pos="2791"/>
        </w:tabs>
        <w:jc w:val="both"/>
        <w:rPr>
          <w:rFonts w:hint="eastAsia" w:ascii="宋体" w:hAnsi="宋体" w:eastAsiaTheme="minorEastAsia"/>
          <w:b/>
          <w:sz w:val="18"/>
          <w:szCs w:val="1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34C84A"/>
    <w:multiLevelType w:val="singleLevel"/>
    <w:tmpl w:val="5934C84A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2MWRiYjdiYzY1ZjUzODBhYzNmZmJhMjcxNWUwOWQifQ=="/>
  </w:docVars>
  <w:rsids>
    <w:rsidRoot w:val="75AB567C"/>
    <w:rsid w:val="01644E2D"/>
    <w:rsid w:val="0261487E"/>
    <w:rsid w:val="03EA69BB"/>
    <w:rsid w:val="05701D53"/>
    <w:rsid w:val="085C493D"/>
    <w:rsid w:val="09B42FC3"/>
    <w:rsid w:val="09DC4870"/>
    <w:rsid w:val="0DB80774"/>
    <w:rsid w:val="0F4E7CF6"/>
    <w:rsid w:val="15AF7D1B"/>
    <w:rsid w:val="16CD208A"/>
    <w:rsid w:val="17514A69"/>
    <w:rsid w:val="17A37D28"/>
    <w:rsid w:val="17AE2FF7"/>
    <w:rsid w:val="17E85B74"/>
    <w:rsid w:val="1A181609"/>
    <w:rsid w:val="1B616581"/>
    <w:rsid w:val="1BE24091"/>
    <w:rsid w:val="1C5D45DF"/>
    <w:rsid w:val="21D544E9"/>
    <w:rsid w:val="21E60529"/>
    <w:rsid w:val="28CD21E2"/>
    <w:rsid w:val="2AFE23BA"/>
    <w:rsid w:val="2B225B0F"/>
    <w:rsid w:val="2B8463C9"/>
    <w:rsid w:val="2DAD553B"/>
    <w:rsid w:val="2DF83CD2"/>
    <w:rsid w:val="2F59023C"/>
    <w:rsid w:val="2FAB7910"/>
    <w:rsid w:val="308749CC"/>
    <w:rsid w:val="33FA1368"/>
    <w:rsid w:val="343F7C8F"/>
    <w:rsid w:val="345968B4"/>
    <w:rsid w:val="34B03EAE"/>
    <w:rsid w:val="36B956E1"/>
    <w:rsid w:val="38EB15E8"/>
    <w:rsid w:val="39C33138"/>
    <w:rsid w:val="3AA7170B"/>
    <w:rsid w:val="3CBF7409"/>
    <w:rsid w:val="3E65055A"/>
    <w:rsid w:val="3E7A10DC"/>
    <w:rsid w:val="3F3B19D7"/>
    <w:rsid w:val="3FFB252B"/>
    <w:rsid w:val="434910E0"/>
    <w:rsid w:val="45A74094"/>
    <w:rsid w:val="461F0E47"/>
    <w:rsid w:val="47842348"/>
    <w:rsid w:val="488A28D9"/>
    <w:rsid w:val="48A62CBD"/>
    <w:rsid w:val="492F0975"/>
    <w:rsid w:val="4B3A4092"/>
    <w:rsid w:val="4CC84C82"/>
    <w:rsid w:val="4CE03BBE"/>
    <w:rsid w:val="50C675AB"/>
    <w:rsid w:val="51F25A48"/>
    <w:rsid w:val="52465FC3"/>
    <w:rsid w:val="52A35D8A"/>
    <w:rsid w:val="52B64BA0"/>
    <w:rsid w:val="52FE348F"/>
    <w:rsid w:val="53EC518E"/>
    <w:rsid w:val="54F502D1"/>
    <w:rsid w:val="55A006D3"/>
    <w:rsid w:val="569B6DCE"/>
    <w:rsid w:val="58302DB9"/>
    <w:rsid w:val="59087CE0"/>
    <w:rsid w:val="59EA3912"/>
    <w:rsid w:val="5D812B14"/>
    <w:rsid w:val="5D8B68D4"/>
    <w:rsid w:val="5E997D3F"/>
    <w:rsid w:val="60900C44"/>
    <w:rsid w:val="652B3EB2"/>
    <w:rsid w:val="655F6D15"/>
    <w:rsid w:val="65DA26FF"/>
    <w:rsid w:val="65F657B5"/>
    <w:rsid w:val="6925180D"/>
    <w:rsid w:val="7002050D"/>
    <w:rsid w:val="72194046"/>
    <w:rsid w:val="72667E21"/>
    <w:rsid w:val="75AB567C"/>
    <w:rsid w:val="760360A4"/>
    <w:rsid w:val="76CA0970"/>
    <w:rsid w:val="779B3088"/>
    <w:rsid w:val="78017BD0"/>
    <w:rsid w:val="783E7867"/>
    <w:rsid w:val="79A656C4"/>
    <w:rsid w:val="7BF70459"/>
    <w:rsid w:val="7C4F02E0"/>
    <w:rsid w:val="7D793206"/>
    <w:rsid w:val="7E370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488</Words>
  <Characters>553</Characters>
  <Lines>0</Lines>
  <Paragraphs>0</Paragraphs>
  <TotalTime>4</TotalTime>
  <ScaleCrop>false</ScaleCrop>
  <LinksUpToDate>false</LinksUpToDate>
  <CharactersWithSpaces>572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2019-06-23T09:29:00Z</dcterms:created>
  <dc:creator>Administrator</dc:creator>
  <cp:lastModifiedBy>土 旦</cp:lastModifiedBy>
  <cp:lastPrinted>2024-06-14T08:09:00Z</cp:lastPrinted>
  <dcterms:modified xsi:type="dcterms:W3CDTF">2026-08-06T09:11:51Z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FD0454B7733D4FC48E83043FF7684875_13</vt:lpwstr>
  </property>
  <property fmtid="{D5CDD505-2E9C-101B-9397-08002B2CF9AE}" pid="4" name="KSOTemplateDocerSaveRecord">
    <vt:lpwstr>eyJoZGlkIjoiN2Y2MTk0NTBiM2ZjZTMxNjBiNDU5ZGE5OWNmOTRkZDkiLCJ1c2VySWQiOiI1NzU4NzU4MjYifQ==</vt:lpwstr>
  </property>
</Properties>
</file>