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4C5A0">
      <w:pPr>
        <w:numPr>
          <w:ilvl w:val="0"/>
          <w:numId w:val="1"/>
        </w:numPr>
        <w:spacing w:line="240" w:lineRule="auto"/>
        <w:jc w:val="center"/>
        <w:rPr>
          <w:rFonts w:hint="eastAsia" w:ascii="仿宋" w:hAnsi="仿宋" w:eastAsia="仿宋" w:cs="仿宋"/>
          <w:b/>
          <w:bCs/>
          <w:spacing w:val="-5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pacing w:val="-5"/>
          <w:sz w:val="36"/>
          <w:szCs w:val="36"/>
          <w:lang w:val="en-US" w:eastAsia="zh-CN"/>
        </w:rPr>
        <w:t>采购</w:t>
      </w:r>
      <w:r>
        <w:rPr>
          <w:rFonts w:hint="eastAsia" w:ascii="仿宋" w:hAnsi="仿宋" w:eastAsia="仿宋" w:cs="仿宋"/>
          <w:b/>
          <w:bCs/>
          <w:spacing w:val="-5"/>
          <w:sz w:val="36"/>
          <w:szCs w:val="36"/>
        </w:rPr>
        <w:t>清单</w:t>
      </w:r>
    </w:p>
    <w:p w14:paraId="60BD4F0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center"/>
        <w:textAlignment w:val="baseline"/>
        <w:rPr>
          <w:rFonts w:hint="default" w:ascii="仿宋" w:hAnsi="仿宋" w:eastAsia="仿宋" w:cs="仿宋"/>
          <w:b/>
          <w:bCs/>
          <w:spacing w:val="-5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5"/>
          <w:sz w:val="36"/>
          <w:szCs w:val="36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-5"/>
          <w:sz w:val="36"/>
          <w:szCs w:val="36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pacing w:val="-5"/>
          <w:sz w:val="36"/>
          <w:szCs w:val="36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pacing w:val="-5"/>
          <w:sz w:val="36"/>
          <w:szCs w:val="36"/>
          <w:lang w:val="en-US" w:eastAsia="zh-CN"/>
        </w:rPr>
        <w:t>投标价格明细表</w:t>
      </w:r>
    </w:p>
    <w:tbl>
      <w:tblPr>
        <w:tblStyle w:val="2"/>
        <w:tblW w:w="5364" w:type="pct"/>
        <w:tblInd w:w="-5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825"/>
        <w:gridCol w:w="3909"/>
        <w:gridCol w:w="778"/>
        <w:gridCol w:w="782"/>
        <w:gridCol w:w="752"/>
        <w:gridCol w:w="1466"/>
      </w:tblGrid>
      <w:tr w14:paraId="44F1A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品牌/参数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 w14:paraId="5B407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户外遮阳设备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9101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/>
                <w:iCs/>
                <w:spacing w:val="-5"/>
                <w:sz w:val="24"/>
                <w:szCs w:val="24"/>
                <w:u w:val="single" w:color="auto"/>
                <w:lang w:val="en-US" w:eastAsia="zh-CN"/>
              </w:rPr>
              <w:t>风轻飏SC1089</w:t>
            </w:r>
          </w:p>
          <w:p w14:paraId="4350A46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top"/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钢结构：离地高度±5m,立柱间距：±5m，结构用料参数：立柱及横杆：≥Φ120*5mm,圆管；混泥土预埋件；卷绳器：材质铝合金，直径≥120mm，以实现更长行程运行；支撑钢丝:直径5mm304不锈钢丝；牵引钢丝:直径2mm304不锈钢丝。</w:t>
            </w:r>
          </w:p>
          <w:p w14:paraId="29CFACF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面料规格：长1-30米，幅宽1.5-3米；材质：HDPE高密度聚乙烯遮阳面料，色牢度8级，≥320g/㎡，透气、抗风、不积水。面料断裂强力满足GB/T 4745-2012标准，经向≥480N，纬向≥730N，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（提供：符合JG/T252-2015《建筑用遮阳天蓬帘》技术要求的省级以上检验报告）；</w:t>
            </w:r>
          </w:p>
          <w:p w14:paraId="0ABE740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主要组件。1、帘杆：材质铝合金，壁厚≥0.5mm，（不可一段式铝杆内穿胶条，以防胶条老化脱落伤人）。2、帘杆吊轮：材质304不锈钢（支架壁厚≥1mm）+黄铜（圆柱体轮芯,直径≥6.5mm*高4.5mm,采用侧穿内嵌式防脱设计，非外拧螺丝的夹片样式，以防长时间的运行颤动引起螺丝松动导致机构故障，特别须规避因大量外露螺丝应用，偶然引发零星螺丝掉落地面，由此导致的幼儿因好奇把玩误吞食风险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3、</w:t>
            </w: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支架：材质高强度Q235B锌钢，集成式安装支架上配有6个定滑轮，并配置有牵引钢丝、导向钢丝、连接螺丝孔等连接点位以精准定位，保障结构顺畅运行。集成化、模块化以实现快速安装，减小现场安装难度。4、滑轮：含定滑轮、万向轮，均采用双轴承不锈钢静音滑轮，轮芯直径48mm，结构由支架、轮芯、轴承组成。</w:t>
            </w:r>
          </w:p>
          <w:p w14:paraId="49036E4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三、整体结构：金属结构件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应光洁，无明显擦伤、划痕，不应有毛刺变形及锐角、明显色差、流挂、露底、皱皮、剥落、锈蚀现象。1、表面：应无破洞、折痕、皱条、油污、油渍、明显色差、荷叶边等缺陷。2、接缝：不应发生裂缝、跳缝、脱线。3、塑料件：塑料件表面应光洁，元明显擦伤、划痕，不应有毛刺及锐角，不应有明显色差、皱皮、开裂现象。</w:t>
            </w:r>
          </w:p>
          <w:p w14:paraId="694A0E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管状电机：工作制：S2[4min]；外壳防护等级：IP[44]；冷却方式：IC[0141];外壳材料:钢板;绕组材料：铜线;保护方式：带热保护器;电源性质：单相交流;罩壳：铝合金罩壳全包裹，全防水设计，以防电机进水短路可能导致的漏电触电安全事故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配备有安全限位保护装置，可以实现远程控制/机器人控制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692920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1、★机械耐久性(3级) ：伸展和收回次数≥9000次，帘布应无破损，机构装置无松动，能实现正常运行。</w:t>
            </w:r>
          </w:p>
          <w:p w14:paraId="329A90C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2、★抗风性能(3级) ：额定测试压力100 N/m2，安全测试压力120N/m2，完成安全测试后， 送检样品帘布无破损，机构装置无松动，能实现正常运行。沾水性：3-4(class)。断裂强力：经向480(N)纬向730(N)。抗紫外线性能：T( UPF)A V／12.70 UPF／9 T(UV A)av ( % ) ／ 8. 58 T{UVB) av (% )／8.42。抗紫外线≧90% 遮光率：≦80(%) 日晒率≧7级；平方米干燥重量：≧320(g/㎡) 。耐光色牢度 (8 级) ：变色 8(class)。</w:t>
            </w:r>
          </w:p>
          <w:p w14:paraId="57880E6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五、中标方须提交完整的施工方案，含《平面设计图》、《钢构基础图》、《安装准备&amp;物料清单》、《户外遮阳帘安装流程》、《户外遮阳帘使用须知》等资料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河北恒祥特种纺织有限公司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600平方米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44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74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208800</w:t>
            </w:r>
          </w:p>
        </w:tc>
      </w:tr>
      <w:tr w14:paraId="2CF38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悬浮地板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260F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/>
                <w:iCs/>
                <w:spacing w:val="-5"/>
                <w:sz w:val="24"/>
                <w:szCs w:val="24"/>
                <w:u w:val="single" w:color="auto"/>
                <w:lang w:val="en-US" w:eastAsia="zh-CN"/>
              </w:rPr>
              <w:t>风轻飏SC1065</w:t>
            </w:r>
          </w:p>
          <w:p w14:paraId="030970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观质量：地板颜色均匀一致，无明显色差；表面无龟裂、起泡、塑化不良，无毛刺34。摩擦系数：悬浮地板的摩擦系数在0.5-0.7之间134。球反弹率：悬浮地板针对球的反弹率≧90%34。承载能力：单块悬浮拼装地板均匀受压15KN历时1分钟，无任何破损现象；施加载荷1500N时，不应有裂纹、断裂、劈裂、漆膜等损坏。耐温性能：在70摄氏度高温下72小时无融化、无龟裂、无明显色差；在零下40摄氏度低温下24小时无龟裂、无明显色差。环保要求：悬浮地板必须经过甲醛、苯、甲苯、总挥发性有机化合物（TVOC）的释放量实验且符合标准。平整度：单块悬浮式拼装地板的平整度≦0.5mm34。拼装性能：拼装后的两块地板上下错位≦1mm，拆装方便，无需粘接，可随意拆卸。阻燃等级：悬浮式拼装地板的阻燃等级为一级。结构设计：悬浮地板具有良好的隔音、隔热、防潮、防尘、防震、耐磨等功能，其结构设计需考虑表面承载力、板件尺寸、面漆涂刷种类、吊顶高度等因素。尺寸：600*600mm；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河北恒祥特种纺织有限公司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A3CA">
            <w:pPr>
              <w:keepNext w:val="0"/>
              <w:keepLines w:val="0"/>
              <w:widowControl/>
              <w:suppressLineNumbers w:val="0"/>
              <w:tabs>
                <w:tab w:val="left" w:pos="217"/>
              </w:tabs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1386平方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A1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138.5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BB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191961</w:t>
            </w:r>
          </w:p>
        </w:tc>
      </w:tr>
      <w:tr w14:paraId="4A11C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D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塑胶台阶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E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/>
                <w:iCs/>
                <w:spacing w:val="-5"/>
                <w:sz w:val="24"/>
                <w:szCs w:val="24"/>
                <w:u w:val="single" w:color="auto"/>
                <w:lang w:val="en-US" w:eastAsia="zh-CN"/>
              </w:rPr>
              <w:t>风轻飏SC1077</w:t>
            </w:r>
          </w:p>
          <w:p w14:paraId="07022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阶材质：熟胶PVC材质，具有撕不烂、耐寒耐低温、耐磨耐用等特点；厚度：3.5毫米；颜色分类：有多种颜色可供选择，如红色、绿色、灰色、蓝色等。特点：防滑性能好，柔软有弹性，易于清洁，色彩丰富，形状多样，价格比高。平台材质：PVC地板；（要求平台和台阶颜色一致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河北恒祥特种纺织有限公司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210平方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07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5E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35910</w:t>
            </w:r>
          </w:p>
        </w:tc>
      </w:tr>
      <w:tr w14:paraId="3FF23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5D626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279986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A8F277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ABD5F4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A74B76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3644E8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班级饮水机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CD81B0"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碧丽1013</w:t>
            </w:r>
          </w:p>
          <w:p w14:paraId="13CA0A94"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出水方式：机械旋钮取水；两龙头，温开水。</w:t>
            </w:r>
          </w:p>
          <w:p w14:paraId="61A81378"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功率/电源：≥2KW，220V/50HZ（投标时同时提供①国家认可的检测机构出具型号功率一致的CQC或CCC认证证书扫描件（在有效期内）注：对应参数在证书中标注；②在全国认证认可信息公共服务平台（认e云）（http://cx.cnca.cn/）的证书查询记录截图）。</w:t>
            </w:r>
          </w:p>
          <w:p w14:paraId="5A3CAA61"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3.水胆容量：容量≥13升 采用304不锈钢材质（提供与投标产品型号一致的整机《涉及饮用水卫生安全产品卫生许可批件》扫描件加盖公章做为依据，证件内须注明内胆容量及材质符合上述要求）。</w:t>
            </w:r>
          </w:p>
          <w:p w14:paraId="77CB9D54"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广东碧丽饮水设备有限公司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577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C2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DEA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35280</w:t>
            </w:r>
          </w:p>
        </w:tc>
      </w:tr>
      <w:tr w14:paraId="05F51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C3CE1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45084A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711B9A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2760792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口杯消毒柜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11FF47"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明盛MK106</w:t>
            </w:r>
          </w:p>
          <w:p w14:paraId="5554CC9A"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1、消毒柜和水杯架二合为一的优质产品，规格：1150mm*710mm*275mm±0.5mm；台面采用玻璃钢台面设计，美观大方，非常适合幼儿园配置使用。                                                                                                                           </w:t>
            </w:r>
          </w:p>
          <w:p w14:paraId="23C2F32E"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2、箱体层架采用优质无磁不锈钢材质，美观扎实，耐温耐腐蚀。</w:t>
            </w:r>
          </w:p>
          <w:p w14:paraId="7BEA372D"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3、具有臭氧中温红外线消毒保洁功能，适合耐温高于70℃的塑料、密胺制品餐具，干爽洁净，随拿随取，不烫手。</w:t>
            </w:r>
          </w:p>
          <w:p w14:paraId="7D2F37AE"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4、适合42个小杯摆放，也可以杯子下面放一个小碗，杯子放在碗上面，一个小朋友一个位置摆放，干净卫生。</w:t>
            </w:r>
          </w:p>
          <w:p w14:paraId="7AE28DF9"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5、容量：7层，每层6格，可放至少42只水杯，口杯直径不小于8cm内可以摆放两只一格。                                                                          6、功率：600W/220v</w:t>
            </w:r>
          </w:p>
          <w:p w14:paraId="48C59308"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广东省佛山市顺德区明盛电器实业有限公司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C16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D9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FB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15210</w:t>
            </w:r>
          </w:p>
        </w:tc>
      </w:tr>
      <w:tr w14:paraId="4453F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527749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FA40CA">
            <w:pPr>
              <w:spacing w:beforeLines="0" w:afterLines="0"/>
              <w:jc w:val="left"/>
              <w:rPr>
                <w:rFonts w:hint="default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肆拾捌万柒仟壹佰陆拾壹元整</w:t>
            </w:r>
            <w:bookmarkStart w:id="0" w:name="_GoBack"/>
            <w:bookmarkEnd w:id="0"/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EC0E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i/>
                <w:iCs/>
                <w:spacing w:val="-5"/>
                <w:sz w:val="24"/>
                <w:szCs w:val="24"/>
                <w:u w:val="single" w:color="auto"/>
                <w:lang w:val="en-US" w:eastAsia="zh-CN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EDCA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D34A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8E2E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48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7161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.00</w:t>
            </w:r>
          </w:p>
        </w:tc>
      </w:tr>
    </w:tbl>
    <w:p w14:paraId="06FF9DF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center"/>
        <w:textAlignment w:val="baseline"/>
        <w:rPr>
          <w:rFonts w:hint="eastAsia" w:ascii="仿宋" w:hAnsi="仿宋" w:eastAsia="仿宋" w:cs="仿宋"/>
          <w:b/>
          <w:bCs/>
          <w:spacing w:val="-5"/>
          <w:sz w:val="36"/>
          <w:szCs w:val="36"/>
        </w:rPr>
      </w:pPr>
    </w:p>
    <w:p w14:paraId="09CB2C1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center"/>
        <w:textAlignment w:val="baseline"/>
        <w:rPr>
          <w:rFonts w:hint="eastAsia" w:ascii="仿宋" w:hAnsi="仿宋" w:eastAsia="仿宋" w:cs="仿宋"/>
          <w:b/>
          <w:bCs/>
          <w:spacing w:val="-5"/>
          <w:sz w:val="36"/>
          <w:szCs w:val="36"/>
        </w:rPr>
      </w:pPr>
    </w:p>
    <w:p w14:paraId="372E69D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center"/>
        <w:textAlignment w:val="baseline"/>
        <w:rPr>
          <w:rFonts w:hint="eastAsia" w:ascii="仿宋" w:hAnsi="仿宋" w:eastAsia="仿宋" w:cs="仿宋"/>
          <w:b/>
          <w:bCs/>
          <w:spacing w:val="-5"/>
          <w:sz w:val="36"/>
          <w:szCs w:val="36"/>
        </w:rPr>
      </w:pPr>
    </w:p>
    <w:p w14:paraId="5E78110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center"/>
        <w:textAlignment w:val="baseline"/>
        <w:rPr>
          <w:rFonts w:hint="eastAsia" w:ascii="仿宋" w:hAnsi="仿宋" w:eastAsia="仿宋" w:cs="仿宋"/>
          <w:b/>
          <w:bCs/>
          <w:spacing w:val="-5"/>
          <w:sz w:val="36"/>
          <w:szCs w:val="36"/>
        </w:rPr>
      </w:pPr>
    </w:p>
    <w:p w14:paraId="2618EDA8">
      <w:pPr>
        <w:spacing w:before="91" w:line="223" w:lineRule="auto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3"/>
          <w:sz w:val="28"/>
          <w:szCs w:val="28"/>
        </w:rPr>
        <w:t>供应商</w:t>
      </w:r>
      <w:r>
        <w:rPr>
          <w:rFonts w:hint="eastAsia" w:ascii="仿宋" w:hAnsi="仿宋" w:eastAsia="仿宋" w:cs="仿宋"/>
          <w:spacing w:val="-19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-19"/>
          <w:sz w:val="28"/>
          <w:szCs w:val="28"/>
          <w:u w:val="single" w:color="auto"/>
          <w:lang w:val="en-US" w:eastAsia="zh-CN"/>
        </w:rPr>
        <w:t>宁</w:t>
      </w:r>
      <w:r>
        <w:rPr>
          <w:rFonts w:hint="eastAsia" w:ascii="仿宋" w:hAnsi="仿宋" w:eastAsia="仿宋" w:cs="仿宋"/>
          <w:sz w:val="28"/>
          <w:szCs w:val="28"/>
          <w:u w:val="single" w:color="auto"/>
        </w:rPr>
        <w:t>夏祥遇建筑装饰有限公司</w:t>
      </w:r>
      <w:r>
        <w:rPr>
          <w:rFonts w:hint="eastAsia" w:ascii="仿宋" w:hAnsi="仿宋" w:eastAsia="仿宋" w:cs="仿宋"/>
          <w:spacing w:val="-19"/>
          <w:sz w:val="28"/>
          <w:szCs w:val="28"/>
        </w:rPr>
        <w:t>（</w:t>
      </w:r>
      <w:r>
        <w:rPr>
          <w:rFonts w:hint="eastAsia" w:ascii="仿宋" w:hAnsi="仿宋" w:eastAsia="仿宋" w:cs="仿宋"/>
          <w:spacing w:val="3"/>
          <w:sz w:val="28"/>
          <w:szCs w:val="28"/>
        </w:rPr>
        <w:t>盖章）</w:t>
      </w:r>
    </w:p>
    <w:p w14:paraId="44D7EE5E">
      <w:pPr>
        <w:spacing w:before="141" w:line="223" w:lineRule="auto"/>
        <w:ind w:left="4845" w:firstLine="488" w:firstLineChars="200"/>
        <w:outlineLvl w:val="1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pacing w:val="-18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spacing w:val="-18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"/>
          <w:spacing w:val="5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spacing w:val="-18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"/>
          <w:spacing w:val="16"/>
          <w:sz w:val="28"/>
          <w:szCs w:val="28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spacing w:val="-18"/>
          <w:sz w:val="28"/>
          <w:szCs w:val="28"/>
          <w:u w:val="single"/>
        </w:rPr>
        <w:t>日</w:t>
      </w:r>
    </w:p>
    <w:p w14:paraId="7F66AD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7E8A9A"/>
    <w:multiLevelType w:val="singleLevel"/>
    <w:tmpl w:val="8C7E8A9A"/>
    <w:lvl w:ilvl="0" w:tentative="0">
      <w:start w:val="3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02FAEE74"/>
    <w:multiLevelType w:val="multilevel"/>
    <w:tmpl w:val="02FAEE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F7DB9"/>
    <w:rsid w:val="232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2026-07-13T10:13:00Z</dcterms:created>
  <dc:creator>李朝军13995047048</dc:creator>
  <cp:lastModifiedBy>李朝军13995047048</cp:lastModifiedBy>
  <dcterms:modified xsi:type="dcterms:W3CDTF">2026-07-13T10:16:43Z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617110270B4E41D1AB0395FF67CAA8BE_11</vt:lpwstr>
  </property>
  <property fmtid="{D5CDD505-2E9C-101B-9397-08002B2CF9AE}" pid="4" name="KSOTemplateDocerSaveRecord">
    <vt:lpwstr>eyJoZGlkIjoiZjAwN2ZlMDFiMWI1N2U1OTI3YjhjMmMxNTIyN2I5MjgiLCJ1c2VySWQiOiI0MjExODU4NzIifQ==</vt:lpwstr>
  </property>
</Properties>
</file>