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CFB72">
      <w:pPr>
        <w:pStyle w:val="2"/>
        <w:pageBreakBefore w:val="0"/>
        <w:widowControl w:val="0"/>
        <w:numPr>
          <w:ilvl w:val="0"/>
          <w:numId w:val="0"/>
        </w:numPr>
        <w:kinsoku/>
        <w:wordWrap/>
        <w:overflowPunct/>
        <w:bidi w:val="0"/>
        <w:adjustRightInd/>
        <w:snapToGrid/>
        <w:spacing w:before="0" w:beforeLines="0" w:after="0" w:afterLines="0" w:line="360" w:lineRule="auto"/>
        <w:ind w:leftChars="0"/>
        <w:jc w:val="center"/>
        <w:textAlignment w:val="auto"/>
        <w:rPr>
          <w:rFonts w:hint="eastAsia" w:ascii="宋体" w:hAnsi="宋体" w:eastAsia="宋体" w:cs="宋体"/>
          <w:sz w:val="36"/>
          <w:szCs w:val="36"/>
          <w:highlight w:val="none"/>
        </w:rPr>
      </w:pPr>
      <w:r>
        <w:rPr>
          <w:rFonts w:hint="eastAsia" w:ascii="宋体" w:hAnsi="宋体" w:eastAsia="宋体" w:cs="宋体"/>
          <w:sz w:val="36"/>
          <w:szCs w:val="36"/>
          <w:highlight w:val="none"/>
        </w:rPr>
        <w:t>招标公告</w:t>
      </w:r>
    </w:p>
    <w:p w14:paraId="077E4ADC">
      <w:pPr>
        <w:pageBreakBefore w:val="0"/>
        <w:widowControl w:val="0"/>
        <w:kinsoku/>
        <w:wordWrap/>
        <w:overflowPunct/>
        <w:bidi w:val="0"/>
        <w:adjustRightInd/>
        <w:snapToGrid/>
        <w:spacing w:line="360" w:lineRule="auto"/>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u w:val="none"/>
          <w:lang w:val="en-US" w:eastAsia="zh-CN"/>
        </w:rPr>
        <w:t>某单位库房信息化改造项目</w:t>
      </w:r>
      <w:r>
        <w:rPr>
          <w:rFonts w:hint="eastAsia" w:ascii="宋体" w:hAnsi="宋体" w:eastAsia="宋体" w:cs="宋体"/>
          <w:b w:val="0"/>
          <w:bCs w:val="0"/>
          <w:color w:val="auto"/>
          <w:sz w:val="28"/>
          <w:szCs w:val="28"/>
          <w:highlight w:val="none"/>
          <w:u w:val="none"/>
        </w:rPr>
        <w:t>招标</w:t>
      </w:r>
      <w:r>
        <w:rPr>
          <w:rFonts w:hint="eastAsia" w:ascii="宋体" w:hAnsi="宋体" w:eastAsia="宋体" w:cs="宋体"/>
          <w:b w:val="0"/>
          <w:bCs w:val="0"/>
          <w:color w:val="auto"/>
          <w:sz w:val="28"/>
          <w:szCs w:val="28"/>
          <w:highlight w:val="none"/>
        </w:rPr>
        <w:t>公告</w:t>
      </w:r>
    </w:p>
    <w:p w14:paraId="11AABA4A">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0" w:name="_Toc247085672"/>
      <w:bookmarkStart w:id="1" w:name="_Toc246996158"/>
      <w:bookmarkStart w:id="2" w:name="_Toc152045512"/>
      <w:bookmarkStart w:id="3" w:name="_Toc466561168"/>
      <w:bookmarkStart w:id="4" w:name="_Toc179632528"/>
      <w:bookmarkStart w:id="5" w:name="_Toc246996901"/>
      <w:bookmarkStart w:id="6" w:name="_Toc16983"/>
      <w:bookmarkStart w:id="7" w:name="_Toc152042288"/>
      <w:bookmarkStart w:id="8" w:name="_Toc16168"/>
      <w:bookmarkStart w:id="9" w:name="_Toc144974480"/>
      <w:r>
        <w:rPr>
          <w:rFonts w:hint="eastAsia" w:ascii="宋体" w:hAnsi="宋体" w:eastAsia="宋体" w:cs="宋体"/>
          <w:color w:val="auto"/>
          <w:highlight w:val="none"/>
        </w:rPr>
        <w:t>1. 招标条件</w:t>
      </w:r>
      <w:bookmarkEnd w:id="0"/>
      <w:bookmarkEnd w:id="1"/>
      <w:bookmarkEnd w:id="2"/>
      <w:bookmarkEnd w:id="3"/>
      <w:bookmarkEnd w:id="4"/>
      <w:bookmarkEnd w:id="5"/>
      <w:bookmarkEnd w:id="6"/>
      <w:bookmarkEnd w:id="7"/>
      <w:bookmarkEnd w:id="8"/>
      <w:bookmarkEnd w:id="9"/>
    </w:p>
    <w:p w14:paraId="3D1BCDD8">
      <w:pPr>
        <w:pageBreakBefore w:val="0"/>
        <w:widowControl w:val="0"/>
        <w:kinsoku/>
        <w:wordWrap/>
        <w:overflowPunct/>
        <w:bidi w:val="0"/>
        <w:adjustRightInd/>
        <w:snapToGrid/>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本招标项目</w:t>
      </w:r>
      <w:r>
        <w:rPr>
          <w:rFonts w:hint="eastAsia" w:ascii="宋体" w:hAnsi="宋体" w:eastAsia="宋体" w:cs="宋体"/>
          <w:b w:val="0"/>
          <w:bCs w:val="0"/>
          <w:color w:val="auto"/>
          <w:sz w:val="21"/>
          <w:szCs w:val="21"/>
          <w:highlight w:val="none"/>
          <w:u w:val="single"/>
          <w:lang w:val="en-US" w:eastAsia="zh-CN"/>
        </w:rPr>
        <w:t>某单位库房信息化改造项目</w:t>
      </w:r>
      <w:r>
        <w:rPr>
          <w:rFonts w:hint="eastAsia" w:ascii="宋体" w:hAnsi="宋体" w:eastAsia="宋体" w:cs="宋体"/>
          <w:b w:val="0"/>
          <w:bCs w:val="0"/>
          <w:color w:val="auto"/>
          <w:sz w:val="21"/>
          <w:szCs w:val="21"/>
          <w:highlight w:val="none"/>
          <w:u w:val="none"/>
          <w:lang w:val="en-US" w:eastAsia="zh-CN"/>
        </w:rPr>
        <w:t>已由某单位</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lang w:val="en-US" w:eastAsia="zh-CN"/>
        </w:rPr>
        <w:t>某单位</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lang w:val="en-US" w:eastAsia="zh-CN"/>
        </w:rPr>
        <w:t>上级拨款</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lang w:val="en-US" w:eastAsia="zh-CN"/>
        </w:rPr>
        <w:t>某单位</w:t>
      </w:r>
      <w:r>
        <w:rPr>
          <w:rFonts w:hint="eastAsia" w:ascii="宋体" w:hAnsi="宋体" w:eastAsia="宋体" w:cs="宋体"/>
          <w:color w:val="auto"/>
          <w:sz w:val="21"/>
          <w:szCs w:val="21"/>
          <w:highlight w:val="none"/>
        </w:rPr>
        <w:t>。项目已具备招标条件，现对该项目施工进行公开招标。</w:t>
      </w:r>
    </w:p>
    <w:p w14:paraId="1B34B39F">
      <w:pPr>
        <w:pageBreakBefore w:val="0"/>
        <w:widowControl w:val="0"/>
        <w:kinsoku/>
        <w:wordWrap/>
        <w:overflowPunct/>
        <w:bidi w:val="0"/>
        <w:adjustRightInd/>
        <w:snapToGrid/>
        <w:spacing w:line="360" w:lineRule="auto"/>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宁夏诚信工程管理咨询有限公司</w:t>
      </w:r>
      <w:r>
        <w:rPr>
          <w:rFonts w:hint="eastAsia" w:ascii="宋体" w:hAnsi="宋体" w:eastAsia="宋体" w:cs="宋体"/>
          <w:color w:val="auto"/>
          <w:szCs w:val="21"/>
          <w:highlight w:val="none"/>
        </w:rPr>
        <w:t>受招标人委托负责本工程的招标事宜。</w:t>
      </w:r>
    </w:p>
    <w:p w14:paraId="697EC105">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10" w:name="_Toc152045513"/>
      <w:bookmarkStart w:id="11" w:name="_Toc28810"/>
      <w:bookmarkStart w:id="12" w:name="_Toc466561169"/>
      <w:bookmarkStart w:id="13" w:name="_Toc246996159"/>
      <w:bookmarkStart w:id="14" w:name="_Toc14700"/>
      <w:bookmarkStart w:id="15" w:name="_Toc247085673"/>
      <w:bookmarkStart w:id="16" w:name="_Toc246996902"/>
      <w:bookmarkStart w:id="17" w:name="_Toc179632529"/>
      <w:bookmarkStart w:id="18" w:name="_Toc144974481"/>
      <w:bookmarkStart w:id="19" w:name="_Toc152042289"/>
      <w:r>
        <w:rPr>
          <w:rFonts w:hint="eastAsia" w:ascii="宋体" w:hAnsi="宋体" w:eastAsia="宋体" w:cs="宋体"/>
          <w:color w:val="auto"/>
          <w:highlight w:val="none"/>
        </w:rPr>
        <w:t>2. 项目概况与招标范围</w:t>
      </w:r>
      <w:bookmarkEnd w:id="10"/>
      <w:bookmarkEnd w:id="11"/>
      <w:bookmarkEnd w:id="12"/>
      <w:bookmarkEnd w:id="13"/>
      <w:bookmarkEnd w:id="14"/>
      <w:bookmarkEnd w:id="15"/>
      <w:bookmarkEnd w:id="16"/>
      <w:bookmarkEnd w:id="17"/>
      <w:bookmarkEnd w:id="18"/>
      <w:bookmarkEnd w:id="19"/>
    </w:p>
    <w:p w14:paraId="71F96FA7">
      <w:pPr>
        <w:pageBreakBefore w:val="0"/>
        <w:widowControl w:val="0"/>
        <w:kinsoku/>
        <w:wordWrap/>
        <w:overflowPunct/>
        <w:bidi w:val="0"/>
        <w:adjustRightInd/>
        <w:snapToGrid/>
        <w:spacing w:line="360" w:lineRule="auto"/>
        <w:ind w:firstLine="420" w:firstLineChars="200"/>
        <w:textAlignment w:val="auto"/>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2.1项目概况：</w:t>
      </w:r>
      <w:r>
        <w:rPr>
          <w:rFonts w:hint="eastAsia" w:ascii="宋体" w:hAnsi="宋体" w:eastAsia="宋体" w:cs="宋体"/>
          <w:color w:val="auto"/>
          <w:szCs w:val="21"/>
          <w:highlight w:val="none"/>
          <w:u w:val="single"/>
          <w:lang w:val="en-US" w:eastAsia="zh-CN"/>
        </w:rPr>
        <w:t>建立库内仓储管理系统、温湿度检测系统、火检预警系统、设备采购和安装、室外线缆改造等，具体详见招标文件。</w:t>
      </w:r>
    </w:p>
    <w:p w14:paraId="236D4BCC">
      <w:pPr>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2.2建设地点：</w:t>
      </w:r>
      <w:r>
        <w:rPr>
          <w:rFonts w:hint="eastAsia" w:ascii="宋体" w:hAnsi="宋体" w:eastAsia="宋体" w:cs="宋体"/>
          <w:color w:val="auto"/>
          <w:szCs w:val="21"/>
          <w:highlight w:val="none"/>
          <w:u w:val="single"/>
          <w:lang w:val="en-US" w:eastAsia="zh-CN"/>
        </w:rPr>
        <w:t>银川市西夏区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7EC98A73">
      <w:pPr>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2.3计划工期：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45日历天</w:t>
      </w:r>
      <w:r>
        <w:rPr>
          <w:rFonts w:hint="eastAsia" w:ascii="宋体" w:hAnsi="宋体" w:eastAsia="宋体" w:cs="宋体"/>
          <w:color w:val="auto"/>
          <w:highlight w:val="none"/>
          <w:u w:val="single"/>
        </w:rPr>
        <w:t xml:space="preserve">                      </w:t>
      </w:r>
    </w:p>
    <w:p w14:paraId="77720553">
      <w:pPr>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2.4招标范围：</w:t>
      </w:r>
      <w:r>
        <w:rPr>
          <w:rFonts w:hint="eastAsia" w:ascii="宋体" w:hAnsi="宋体" w:eastAsia="宋体" w:cs="宋体"/>
          <w:color w:val="auto"/>
          <w:szCs w:val="21"/>
          <w:highlight w:val="none"/>
          <w:u w:val="single"/>
        </w:rPr>
        <w:t xml:space="preserve">招标文件及工程量清单范围内的所有内容                                                            </w:t>
      </w:r>
    </w:p>
    <w:p w14:paraId="52EF7091">
      <w:pPr>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2.5标段划分：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本项目共</w:t>
      </w:r>
      <w:r>
        <w:rPr>
          <w:rFonts w:hint="eastAsia" w:ascii="宋体" w:hAnsi="宋体" w:eastAsia="宋体" w:cs="宋体"/>
          <w:color w:val="auto"/>
          <w:szCs w:val="21"/>
          <w:highlight w:val="none"/>
          <w:u w:val="single"/>
          <w:lang w:val="zh-CN" w:eastAsia="zh-CN"/>
        </w:rPr>
        <w:t>划分为一个标段</w:t>
      </w:r>
      <w:r>
        <w:rPr>
          <w:rFonts w:hint="eastAsia" w:ascii="宋体" w:hAnsi="宋体" w:eastAsia="宋体" w:cs="宋体"/>
          <w:color w:val="auto"/>
          <w:szCs w:val="21"/>
          <w:highlight w:val="none"/>
          <w:u w:val="single"/>
        </w:rPr>
        <w:t xml:space="preserve">                                                             </w:t>
      </w:r>
    </w:p>
    <w:p w14:paraId="6FA9C782">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20" w:name="_Toc152042290"/>
      <w:bookmarkStart w:id="21" w:name="_Toc466561170"/>
      <w:bookmarkStart w:id="22" w:name="_Toc144974482"/>
      <w:bookmarkStart w:id="23" w:name="_Toc246996903"/>
      <w:bookmarkStart w:id="24" w:name="_Toc152045514"/>
      <w:bookmarkStart w:id="25" w:name="_Toc9184"/>
      <w:bookmarkStart w:id="26" w:name="_Toc179632530"/>
      <w:bookmarkStart w:id="27" w:name="_Toc20622"/>
      <w:bookmarkStart w:id="28" w:name="_Toc247085674"/>
      <w:bookmarkStart w:id="29" w:name="_Toc246996160"/>
      <w:r>
        <w:rPr>
          <w:rFonts w:hint="eastAsia" w:ascii="宋体" w:hAnsi="宋体" w:eastAsia="宋体" w:cs="宋体"/>
          <w:color w:val="auto"/>
          <w:highlight w:val="none"/>
        </w:rPr>
        <w:t>3. 投标人资格要求</w:t>
      </w:r>
      <w:bookmarkEnd w:id="20"/>
      <w:bookmarkEnd w:id="21"/>
      <w:bookmarkEnd w:id="22"/>
      <w:bookmarkEnd w:id="23"/>
      <w:bookmarkEnd w:id="24"/>
      <w:bookmarkEnd w:id="25"/>
      <w:bookmarkEnd w:id="26"/>
      <w:bookmarkEnd w:id="27"/>
      <w:bookmarkEnd w:id="28"/>
      <w:bookmarkEnd w:id="29"/>
    </w:p>
    <w:p w14:paraId="764DCB8D">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rPr>
      </w:pPr>
      <w:bookmarkStart w:id="30" w:name="_Toc247085675"/>
      <w:bookmarkStart w:id="31" w:name="_Toc179632531"/>
      <w:bookmarkStart w:id="32" w:name="_Toc246996161"/>
      <w:bookmarkStart w:id="33" w:name="_Toc152042291"/>
      <w:bookmarkStart w:id="34" w:name="_Toc144974483"/>
      <w:bookmarkStart w:id="35" w:name="_Toc246996904"/>
      <w:bookmarkStart w:id="36" w:name="_Toc152045515"/>
      <w:r>
        <w:rPr>
          <w:rFonts w:hint="eastAsia" w:ascii="宋体" w:hAnsi="宋体" w:eastAsia="宋体" w:cs="宋体"/>
          <w:color w:val="auto"/>
          <w:highlight w:val="none"/>
        </w:rPr>
        <w:t>3.1本次招标要求投标人营业执照、税务登记证、组织机构代码证（三证合一只提供营业执照)，且</w:t>
      </w:r>
      <w:r>
        <w:rPr>
          <w:rFonts w:hint="eastAsia" w:ascii="宋体" w:hAnsi="宋体" w:eastAsia="宋体" w:cs="宋体"/>
          <w:color w:val="auto"/>
          <w:highlight w:val="none"/>
          <w:lang w:val="en-US" w:eastAsia="zh-CN"/>
        </w:rPr>
        <w:t>投标人非外资独资或外资控股企业（含港澳台）</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且同时具有</w:t>
      </w:r>
      <w:r>
        <w:rPr>
          <w:rFonts w:hint="eastAsia" w:ascii="宋体" w:hAnsi="宋体" w:eastAsia="宋体"/>
          <w:highlight w:val="none"/>
          <w:u w:val="single"/>
        </w:rPr>
        <w:t>通信工程施工总承包</w:t>
      </w:r>
      <w:r>
        <w:rPr>
          <w:rFonts w:hint="eastAsia" w:ascii="宋体" w:hAnsi="宋体" w:eastAsia="宋体"/>
          <w:highlight w:val="none"/>
          <w:u w:val="single"/>
          <w:lang w:val="en-US" w:eastAsia="zh-CN"/>
        </w:rPr>
        <w:t>三级或</w:t>
      </w:r>
      <w:r>
        <w:rPr>
          <w:rFonts w:hint="eastAsia" w:ascii="宋体" w:hAnsi="宋体" w:eastAsia="宋体"/>
          <w:color w:val="auto"/>
          <w:highlight w:val="none"/>
          <w:u w:val="single"/>
        </w:rPr>
        <w:t>电子与智能化工程专业承包二级及以上资质</w:t>
      </w:r>
      <w:r>
        <w:rPr>
          <w:rFonts w:hint="eastAsia" w:ascii="宋体" w:hAnsi="宋体" w:eastAsia="宋体" w:cs="宋体"/>
          <w:color w:val="auto"/>
          <w:highlight w:val="none"/>
        </w:rPr>
        <w:t>，并在人员、设备、资金等方面具有相应的施工能力</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法定代表人、项目经理为国内境内成员。</w:t>
      </w:r>
      <w:r>
        <w:rPr>
          <w:rFonts w:hint="eastAsia" w:ascii="宋体" w:hAnsi="宋体" w:eastAsia="宋体" w:cs="宋体"/>
          <w:color w:val="auto"/>
          <w:highlight w:val="none"/>
        </w:rPr>
        <w:t>其中，投标人拟派项目经理须具备</w:t>
      </w:r>
      <w:r>
        <w:rPr>
          <w:rFonts w:hint="eastAsia" w:ascii="宋体" w:hAnsi="宋体" w:eastAsia="宋体"/>
          <w:color w:val="auto"/>
          <w:highlight w:val="none"/>
          <w:u w:val="single"/>
          <w:lang w:eastAsia="zh-CN"/>
        </w:rPr>
        <w:t>机电工程或建筑工程专业</w:t>
      </w:r>
      <w:r>
        <w:rPr>
          <w:rFonts w:hint="eastAsia" w:ascii="宋体" w:hAnsi="宋体" w:eastAsia="宋体"/>
          <w:color w:val="auto"/>
          <w:highlight w:val="none"/>
          <w:u w:val="single"/>
          <w:lang w:val="en-US" w:eastAsia="zh-CN"/>
        </w:rPr>
        <w:t>二级</w:t>
      </w:r>
      <w:r>
        <w:rPr>
          <w:rFonts w:hint="eastAsia" w:ascii="宋体" w:hAnsi="宋体" w:eastAsia="宋体" w:cs="宋体"/>
          <w:color w:val="auto"/>
          <w:szCs w:val="21"/>
          <w:highlight w:val="none"/>
          <w:u w:val="single"/>
          <w:lang w:val="en-US" w:eastAsia="zh-CN"/>
        </w:rPr>
        <w:t>及以上注册建造师执业资格</w:t>
      </w:r>
      <w:r>
        <w:rPr>
          <w:rFonts w:hint="eastAsia" w:ascii="宋体" w:hAnsi="宋体" w:eastAsia="宋体" w:cs="宋体"/>
          <w:color w:val="auto"/>
          <w:highlight w:val="none"/>
        </w:rPr>
        <w:t>，</w:t>
      </w:r>
      <w:r>
        <w:rPr>
          <w:rFonts w:hint="eastAsia" w:ascii="宋体" w:hAnsi="宋体" w:eastAsia="宋体" w:cs="宋体"/>
          <w:szCs w:val="21"/>
          <w:highlight w:val="none"/>
        </w:rPr>
        <w:t>具备有效的安全生产</w:t>
      </w:r>
      <w:r>
        <w:rPr>
          <w:rFonts w:hint="eastAsia" w:ascii="宋体" w:hAnsi="宋体" w:eastAsia="宋体" w:cs="宋体"/>
          <w:color w:val="auto"/>
          <w:highlight w:val="none"/>
        </w:rPr>
        <w:t>考核合格证书，且未担任其他在施建设工程项目的项目经理。</w:t>
      </w:r>
    </w:p>
    <w:p w14:paraId="451E8A23">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3.2因违规，被建设行政主管部门清出宁夏建筑市场以及限制在银从事建筑资格的企业，不得参与本项目投标，如有以上情况弄虚作假投标者，一经发现上报上级建设行政主管部门。依据相关规定进行处理。</w:t>
      </w:r>
    </w:p>
    <w:p w14:paraId="39B71D36">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3.3通过“信用中国”网站查询投标主体，被列为失信被执行人的，限制其参加投标活动。</w:t>
      </w:r>
    </w:p>
    <w:p w14:paraId="04DD01E8">
      <w:pPr>
        <w:pStyle w:val="4"/>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highlight w:val="none"/>
          <w:lang w:val="en-US" w:eastAsia="zh-CN"/>
        </w:rPr>
      </w:pPr>
      <w:r>
        <w:rPr>
          <w:rFonts w:hint="eastAsia" w:ascii="宋体" w:hAnsi="宋体" w:eastAsia="宋体" w:cs="宋体"/>
          <w:color w:val="auto"/>
          <w:kern w:val="2"/>
          <w:sz w:val="21"/>
          <w:szCs w:val="24"/>
          <w:highlight w:val="none"/>
          <w:lang w:val="en-US" w:eastAsia="zh-CN" w:bidi="ar-SA"/>
        </w:rPr>
        <w:t>3.4通过“军队采购网”，被列入军队采购失信名单和供应商暂停名单，限制其参加投标活</w:t>
      </w:r>
      <w:r>
        <w:rPr>
          <w:rFonts w:hint="eastAsia" w:ascii="宋体" w:hAnsi="宋体" w:eastAsia="宋体" w:cs="宋体"/>
          <w:color w:val="auto"/>
          <w:highlight w:val="none"/>
          <w:lang w:val="en-US" w:eastAsia="zh-CN"/>
        </w:rPr>
        <w:t>动。</w:t>
      </w:r>
    </w:p>
    <w:p w14:paraId="23CA05AC">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3.5通过“中国裁判文书网”网站查询投标主体，有行贿犯罪记录的投标单位，限制其参与投标活动。限定期限为一年（单位犯罪自人民法院判决、裁定生效之日起）。</w:t>
      </w:r>
    </w:p>
    <w:p w14:paraId="3E78E7A5">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3.6单位负责人为同一人或者存在控股、管理关系的不同单位不得同时参加本招标项目投标。</w:t>
      </w:r>
    </w:p>
    <w:p w14:paraId="5CA2687C">
      <w:pPr>
        <w:pageBreakBefore w:val="0"/>
        <w:widowControl w:val="0"/>
        <w:kinsoku/>
        <w:wordWrap/>
        <w:overflowPunct/>
        <w:bidi w:val="0"/>
        <w:adjustRightInd/>
        <w:snapToGrid/>
        <w:spacing w:line="360"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本次招标</w:t>
      </w:r>
      <w:r>
        <w:rPr>
          <w:rFonts w:hint="eastAsia" w:ascii="宋体" w:hAnsi="宋体" w:eastAsia="宋体" w:cs="宋体"/>
          <w:color w:val="auto"/>
          <w:highlight w:val="none"/>
          <w:lang w:eastAsia="zh-CN"/>
        </w:rPr>
        <w:t>不接受</w:t>
      </w:r>
      <w:r>
        <w:rPr>
          <w:rFonts w:hint="eastAsia" w:ascii="宋体" w:hAnsi="宋体" w:eastAsia="宋体" w:cs="宋体"/>
          <w:color w:val="auto"/>
          <w:highlight w:val="none"/>
        </w:rPr>
        <w:t>联合体投标。</w:t>
      </w:r>
    </w:p>
    <w:p w14:paraId="1B6422E1">
      <w:pPr>
        <w:pStyle w:val="3"/>
        <w:pageBreakBefore w:val="0"/>
        <w:widowControl w:val="0"/>
        <w:numPr>
          <w:ilvl w:val="0"/>
          <w:numId w:val="1"/>
        </w:numPr>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37" w:name="_Toc466561171"/>
      <w:bookmarkStart w:id="38" w:name="_Toc952"/>
      <w:bookmarkStart w:id="39" w:name="_Toc7066"/>
      <w:r>
        <w:rPr>
          <w:rFonts w:hint="eastAsia" w:ascii="宋体" w:hAnsi="宋体" w:eastAsia="宋体" w:cs="宋体"/>
          <w:color w:val="auto"/>
          <w:highlight w:val="none"/>
        </w:rPr>
        <w:t>招标文件的获取</w:t>
      </w:r>
      <w:bookmarkEnd w:id="30"/>
      <w:bookmarkEnd w:id="31"/>
      <w:bookmarkEnd w:id="32"/>
      <w:bookmarkEnd w:id="33"/>
      <w:bookmarkEnd w:id="34"/>
      <w:bookmarkEnd w:id="35"/>
      <w:bookmarkEnd w:id="36"/>
      <w:bookmarkEnd w:id="37"/>
      <w:bookmarkEnd w:id="38"/>
      <w:bookmarkEnd w:id="39"/>
    </w:p>
    <w:p w14:paraId="46490379">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4.1 凡有意参加投标者，请于20</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rPr>
        <w:t>日至20</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28 </w:t>
      </w:r>
      <w:r>
        <w:rPr>
          <w:rFonts w:hint="eastAsia" w:ascii="宋体" w:hAnsi="宋体" w:eastAsia="宋体" w:cs="宋体"/>
          <w:color w:val="auto"/>
          <w:highlight w:val="none"/>
        </w:rPr>
        <w:t>日登陆中世e招电子交易平台（https://nxzbtb.com.cn）进行网上报名。报名成功后下载招标文件。</w:t>
      </w:r>
    </w:p>
    <w:p w14:paraId="105A46F0">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注：（1）投标单位应首先在中世e招电子交易平台（https://nxzbtb.com.cn）办理注册，注册成功后，投标人用CA锁登录交易系统进行网上报名，即可下载招标文件。</w:t>
      </w:r>
    </w:p>
    <w:p w14:paraId="13E6A6CE">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（2）在规定时间内未按以上程序进行报名及下载招标文件者，投标一律不予接收。</w:t>
      </w:r>
    </w:p>
    <w:p w14:paraId="1AEAC245">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（3）系统实行CA锁认证安全登录管理，办理CA锁、制作电子标书等业务，请加入QQ群（373236413）进行系统操作及业务咨询。CA锁办理及业务咨询地点：中世e招电子交易平台，联系电话：0951-8303983。</w:t>
      </w:r>
    </w:p>
    <w:p w14:paraId="25B2220B">
      <w:pPr>
        <w:keepNext w:val="0"/>
        <w:keepLines w:val="0"/>
        <w:pageBreakBefore w:val="0"/>
        <w:widowControl w:val="0"/>
        <w:kinsoku/>
        <w:wordWrap/>
        <w:overflowPunct/>
        <w:topLinePunct w:val="0"/>
        <w:autoSpaceDE/>
        <w:autoSpaceDN/>
        <w:bidi w:val="0"/>
        <w:adjustRightInd/>
        <w:snapToGrid/>
        <w:spacing w:line="336" w:lineRule="auto"/>
        <w:ind w:firstLine="437"/>
        <w:textAlignment w:val="auto"/>
        <w:rPr>
          <w:rFonts w:hint="eastAsia" w:ascii="宋体" w:hAnsi="宋体" w:eastAsia="宋体" w:cs="宋体"/>
          <w:color w:val="auto"/>
          <w:highlight w:val="none"/>
        </w:rPr>
      </w:pPr>
      <w:r>
        <w:rPr>
          <w:rFonts w:hint="eastAsia" w:ascii="宋体" w:hAnsi="宋体" w:eastAsia="宋体" w:cs="宋体"/>
          <w:color w:val="auto"/>
          <w:highlight w:val="none"/>
        </w:rPr>
        <w:t>4.2 请各投标人在报名结束至开标前随时关注此项目相关信息。你所关注的项目有可能进行时间或内容上的调整。招标代理机构不再以其他方式通知。如因自身原因未及时关注招标公告或变更(澄清、补充等)公告从而导致投标失败，其后果自行承担。</w:t>
      </w:r>
    </w:p>
    <w:p w14:paraId="56D95555">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40" w:name="_Toc1706"/>
      <w:bookmarkStart w:id="41" w:name="_Toc247085676"/>
      <w:bookmarkStart w:id="42" w:name="_Toc152045516"/>
      <w:bookmarkStart w:id="43" w:name="_Toc30585"/>
      <w:bookmarkStart w:id="44" w:name="_Toc466561172"/>
      <w:bookmarkStart w:id="45" w:name="_Toc246996905"/>
      <w:bookmarkStart w:id="46" w:name="_Toc144974484"/>
      <w:bookmarkStart w:id="47" w:name="_Toc246996162"/>
      <w:bookmarkStart w:id="48" w:name="_Toc152042292"/>
      <w:bookmarkStart w:id="49" w:name="_Toc179632532"/>
      <w:r>
        <w:rPr>
          <w:rFonts w:hint="eastAsia" w:ascii="宋体" w:hAnsi="宋体" w:eastAsia="宋体" w:cs="宋体"/>
          <w:color w:val="auto"/>
          <w:highlight w:val="none"/>
        </w:rPr>
        <w:t>5. 投标文件的递交</w:t>
      </w:r>
      <w:bookmarkEnd w:id="40"/>
      <w:bookmarkEnd w:id="41"/>
      <w:bookmarkEnd w:id="42"/>
      <w:bookmarkEnd w:id="43"/>
      <w:bookmarkEnd w:id="44"/>
      <w:bookmarkEnd w:id="45"/>
      <w:bookmarkEnd w:id="46"/>
      <w:bookmarkEnd w:id="47"/>
      <w:bookmarkEnd w:id="48"/>
      <w:bookmarkEnd w:id="49"/>
    </w:p>
    <w:p w14:paraId="47AC8D84">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5.1 投标文件递交的截止时间（投标截止时间，下同）为20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7</w:t>
      </w:r>
      <w:r>
        <w:rPr>
          <w:rFonts w:hint="eastAsia" w:ascii="宋体" w:hAnsi="宋体" w:eastAsia="宋体" w:cs="宋体"/>
          <w:highlight w:val="none"/>
        </w:rPr>
        <w:t>月</w:t>
      </w:r>
      <w:r>
        <w:rPr>
          <w:rFonts w:hint="eastAsia" w:ascii="宋体" w:hAnsi="宋体" w:eastAsia="宋体" w:cs="宋体"/>
          <w:highlight w:val="none"/>
          <w:lang w:val="en-US" w:eastAsia="zh-CN"/>
        </w:rPr>
        <w:t xml:space="preserve">12 </w:t>
      </w:r>
      <w:r>
        <w:rPr>
          <w:rFonts w:hint="eastAsia" w:ascii="宋体" w:hAnsi="宋体" w:eastAsia="宋体" w:cs="宋体"/>
          <w:highlight w:val="none"/>
        </w:rPr>
        <w:t>日9时</w:t>
      </w:r>
      <w:r>
        <w:rPr>
          <w:rFonts w:hint="eastAsia" w:ascii="宋体" w:hAnsi="宋体" w:eastAsia="宋体" w:cs="宋体"/>
          <w:highlight w:val="none"/>
          <w:lang w:val="en-US" w:eastAsia="zh-CN"/>
        </w:rPr>
        <w:t>00</w:t>
      </w:r>
      <w:r>
        <w:rPr>
          <w:rFonts w:hint="eastAsia" w:ascii="宋体" w:hAnsi="宋体" w:eastAsia="宋体" w:cs="宋体"/>
          <w:highlight w:val="none"/>
        </w:rPr>
        <w:t>分，宁夏中世e招电子交易平台电子投标文件。</w:t>
      </w:r>
    </w:p>
    <w:p w14:paraId="68E81D5F">
      <w:pPr>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highlight w:val="none"/>
        </w:rPr>
      </w:pPr>
      <w:r>
        <w:rPr>
          <w:rFonts w:hint="eastAsia" w:ascii="宋体" w:hAnsi="宋体" w:eastAsia="宋体" w:cs="宋体"/>
          <w:highlight w:val="none"/>
        </w:rPr>
        <w:t>5.2 逾期递交的投标文件，招标人不予受理。</w:t>
      </w:r>
    </w:p>
    <w:p w14:paraId="3720BD95">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50" w:name="_Toc246996906"/>
      <w:bookmarkStart w:id="51" w:name="_Toc157499355"/>
      <w:bookmarkStart w:id="52" w:name="_Toc247085677"/>
      <w:bookmarkStart w:id="53" w:name="_Toc20398"/>
      <w:bookmarkStart w:id="54" w:name="_Toc246996163"/>
      <w:bookmarkStart w:id="55" w:name="_Toc466561173"/>
      <w:bookmarkStart w:id="56" w:name="_Toc30831"/>
      <w:bookmarkStart w:id="57" w:name="_Toc179632533"/>
      <w:r>
        <w:rPr>
          <w:rFonts w:hint="eastAsia" w:ascii="宋体" w:hAnsi="宋体" w:eastAsia="宋体" w:cs="宋体"/>
          <w:color w:val="auto"/>
          <w:highlight w:val="none"/>
        </w:rPr>
        <w:t>6. 发布公告的媒介</w:t>
      </w:r>
      <w:bookmarkEnd w:id="50"/>
      <w:bookmarkEnd w:id="51"/>
      <w:bookmarkEnd w:id="52"/>
      <w:bookmarkEnd w:id="53"/>
      <w:bookmarkEnd w:id="54"/>
      <w:bookmarkEnd w:id="55"/>
      <w:bookmarkEnd w:id="56"/>
      <w:bookmarkEnd w:id="57"/>
    </w:p>
    <w:p w14:paraId="73C1BE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highlight w:val="none"/>
        </w:rPr>
        <w:t>本次招标公告在《中世e招电子交易平台》《中国招标投标公共服务平台》</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军队采购网</w:t>
      </w:r>
      <w:r>
        <w:rPr>
          <w:rFonts w:hint="eastAsia" w:ascii="宋体" w:hAnsi="宋体" w:eastAsia="宋体" w:cs="宋体"/>
          <w:highlight w:val="none"/>
          <w:lang w:eastAsia="zh-CN"/>
        </w:rPr>
        <w:t>》</w:t>
      </w:r>
      <w:r>
        <w:rPr>
          <w:rFonts w:hint="eastAsia" w:ascii="宋体" w:hAnsi="宋体" w:eastAsia="宋体" w:cs="宋体"/>
          <w:highlight w:val="none"/>
        </w:rPr>
        <w:t>上发布。</w:t>
      </w:r>
    </w:p>
    <w:p w14:paraId="7AA52F13">
      <w:pPr>
        <w:pStyle w:val="3"/>
        <w:pageBreakBefore w:val="0"/>
        <w:widowControl w:val="0"/>
        <w:kinsoku/>
        <w:wordWrap/>
        <w:overflowPunct/>
        <w:bidi w:val="0"/>
        <w:adjustRightInd/>
        <w:snapToGrid/>
        <w:spacing w:before="0" w:beforeLines="0" w:after="0" w:afterLines="0" w:line="360" w:lineRule="auto"/>
        <w:textAlignment w:val="auto"/>
        <w:rPr>
          <w:rFonts w:hint="eastAsia" w:ascii="宋体" w:hAnsi="宋体" w:eastAsia="宋体" w:cs="宋体"/>
          <w:color w:val="auto"/>
          <w:highlight w:val="none"/>
        </w:rPr>
      </w:pPr>
      <w:bookmarkStart w:id="58" w:name="_Toc144974485"/>
      <w:bookmarkStart w:id="59" w:name="_Toc152042293"/>
      <w:bookmarkStart w:id="60" w:name="_Toc246996164"/>
      <w:bookmarkStart w:id="61" w:name="_Toc179632534"/>
      <w:bookmarkStart w:id="62" w:name="_Toc152045517"/>
      <w:bookmarkStart w:id="63" w:name="_Toc246996907"/>
      <w:bookmarkStart w:id="64" w:name="_Toc19765"/>
      <w:bookmarkStart w:id="65" w:name="_Toc247085678"/>
      <w:bookmarkStart w:id="66" w:name="_Toc23317"/>
      <w:bookmarkStart w:id="67" w:name="_Toc466561174"/>
      <w:r>
        <w:rPr>
          <w:rFonts w:hint="eastAsia" w:ascii="宋体" w:hAnsi="宋体" w:eastAsia="宋体" w:cs="宋体"/>
          <w:color w:val="auto"/>
          <w:highlight w:val="none"/>
        </w:rPr>
        <w:t>7. 联系方式</w:t>
      </w:r>
      <w:bookmarkEnd w:id="58"/>
      <w:bookmarkEnd w:id="59"/>
      <w:bookmarkEnd w:id="60"/>
      <w:bookmarkEnd w:id="61"/>
      <w:bookmarkEnd w:id="62"/>
      <w:bookmarkEnd w:id="63"/>
      <w:bookmarkEnd w:id="64"/>
      <w:bookmarkEnd w:id="65"/>
      <w:bookmarkEnd w:id="66"/>
      <w:bookmarkEnd w:id="67"/>
    </w:p>
    <w:p w14:paraId="30DED1B5">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 标 人：</w:t>
      </w:r>
      <w:r>
        <w:rPr>
          <w:rFonts w:hint="eastAsia" w:ascii="宋体" w:hAnsi="宋体" w:eastAsia="宋体" w:cs="宋体"/>
          <w:color w:val="auto"/>
          <w:szCs w:val="21"/>
          <w:highlight w:val="none"/>
          <w:u w:val="single"/>
          <w:lang w:val="en-US" w:eastAsia="zh-CN"/>
        </w:rPr>
        <w:t xml:space="preserve">某单位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rPr>
        <w:t>宁夏诚信工程管理咨询有限公司</w:t>
      </w:r>
    </w:p>
    <w:p w14:paraId="07F710CA">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pacing w:val="-17"/>
          <w:sz w:val="21"/>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lang w:val="en-US" w:eastAsia="zh-CN"/>
        </w:rPr>
        <w:t xml:space="preserve">银川市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地    址：</w:t>
      </w:r>
      <w:r>
        <w:rPr>
          <w:rFonts w:hint="eastAsia" w:ascii="宋体" w:hAnsi="宋体" w:eastAsia="宋体" w:cs="宋体"/>
          <w:color w:val="auto"/>
          <w:spacing w:val="-17"/>
          <w:sz w:val="21"/>
          <w:szCs w:val="21"/>
          <w:highlight w:val="none"/>
          <w:u w:val="single"/>
        </w:rPr>
        <w:t>银川市金凤区</w:t>
      </w:r>
      <w:r>
        <w:rPr>
          <w:rFonts w:hint="eastAsia" w:ascii="宋体" w:hAnsi="宋体" w:eastAsia="宋体" w:cs="宋体"/>
          <w:color w:val="auto"/>
          <w:spacing w:val="-17"/>
          <w:sz w:val="21"/>
          <w:szCs w:val="21"/>
          <w:highlight w:val="none"/>
          <w:u w:val="single"/>
          <w:lang w:eastAsia="zh-CN"/>
        </w:rPr>
        <w:t>上海西路</w:t>
      </w:r>
      <w:r>
        <w:rPr>
          <w:rFonts w:hint="eastAsia" w:ascii="宋体" w:hAnsi="宋体" w:eastAsia="宋体" w:cs="宋体"/>
          <w:color w:val="auto"/>
          <w:spacing w:val="-17"/>
          <w:sz w:val="21"/>
          <w:szCs w:val="21"/>
          <w:highlight w:val="none"/>
          <w:u w:val="single"/>
          <w:lang w:val="en-US" w:eastAsia="zh-CN"/>
        </w:rPr>
        <w:t>188号派胜大厦五楼</w:t>
      </w:r>
      <w:r>
        <w:rPr>
          <w:rFonts w:hint="eastAsia" w:ascii="宋体" w:hAnsi="宋体" w:eastAsia="宋体" w:cs="宋体"/>
          <w:color w:val="auto"/>
          <w:spacing w:val="-17"/>
          <w:sz w:val="21"/>
          <w:szCs w:val="21"/>
          <w:highlight w:val="none"/>
          <w:u w:val="single"/>
        </w:rPr>
        <w:t xml:space="preserve"> </w:t>
      </w:r>
    </w:p>
    <w:p w14:paraId="6F339FCC">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    编：</w:t>
      </w:r>
      <w:r>
        <w:rPr>
          <w:rFonts w:hint="eastAsia" w:ascii="宋体" w:hAnsi="宋体" w:eastAsia="宋体" w:cs="宋体"/>
          <w:color w:val="auto"/>
          <w:szCs w:val="21"/>
          <w:highlight w:val="none"/>
          <w:u w:val="single"/>
          <w:lang w:val="en-US" w:eastAsia="zh-CN"/>
        </w:rPr>
        <w:t>750001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邮    编：</w:t>
      </w:r>
      <w:r>
        <w:rPr>
          <w:rFonts w:hint="eastAsia" w:ascii="宋体" w:hAnsi="宋体" w:eastAsia="宋体" w:cs="宋体"/>
          <w:color w:val="auto"/>
          <w:szCs w:val="21"/>
          <w:highlight w:val="none"/>
          <w:u w:val="single"/>
          <w:lang w:val="en-US" w:eastAsia="zh-CN"/>
        </w:rPr>
        <w:t>750000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0FA52F25">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lang w:val="en-US" w:eastAsia="zh-CN"/>
        </w:rPr>
        <w:t xml:space="preserve">  吴先生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梁先生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lang w:val="en-US" w:eastAsia="zh-CN"/>
        </w:rPr>
        <w:t>张明宇、田永刚、王菁、杨彩春、吕淼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BBD3C52">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lang w:val="en-US" w:eastAsia="zh-CN"/>
        </w:rPr>
        <w:t xml:space="preserve">  18995055108、0951-2985933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lang w:val="en-US" w:eastAsia="zh-CN"/>
        </w:rPr>
        <w:t xml:space="preserve">18795119218、18409638052     </w:t>
      </w:r>
      <w:r>
        <w:rPr>
          <w:rFonts w:hint="eastAsia" w:ascii="宋体" w:hAnsi="宋体" w:eastAsia="宋体" w:cs="宋体"/>
          <w:color w:val="auto"/>
          <w:szCs w:val="21"/>
          <w:highlight w:val="none"/>
          <w:u w:val="single"/>
        </w:rPr>
        <w:t xml:space="preserve">     </w:t>
      </w:r>
    </w:p>
    <w:p w14:paraId="36809529">
      <w:pPr>
        <w:keepNext w:val="0"/>
        <w:keepLines w:val="0"/>
        <w:pageBreakBefore w:val="0"/>
        <w:widowControl w:val="0"/>
        <w:kinsoku/>
        <w:wordWrap/>
        <w:overflowPunct/>
        <w:topLinePunct/>
        <w:autoSpaceDE/>
        <w:autoSpaceDN/>
        <w:bidi w:val="0"/>
        <w:adjustRightInd/>
        <w:snapToGrid/>
        <w:spacing w:line="336"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1A8E57F">
      <w:pPr>
        <w:ind w:firstLine="420" w:firstLineChars="200"/>
      </w:pPr>
      <w:bookmarkStart w:id="68" w:name="_GoBack"/>
      <w:bookmarkEnd w:id="68"/>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电子邮件：</w:t>
      </w:r>
      <w:r>
        <w:rPr>
          <w:rFonts w:hint="eastAsia" w:ascii="宋体" w:hAnsi="宋体" w:eastAsia="宋体" w:cs="宋体"/>
          <w:color w:val="auto"/>
          <w:szCs w:val="21"/>
          <w:highlight w:val="none"/>
          <w:u w:val="single"/>
          <w:lang w:val="en-US" w:eastAsia="zh-CN"/>
        </w:rPr>
        <w:t>nxcxzx@126.com</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20F69"/>
    <w:multiLevelType w:val="singleLevel"/>
    <w:tmpl w:val="39820F6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jE4ODc5YTdjMGI3OTBlZmNiM2ExNGEyNzdjNjMifQ=="/>
  </w:docVars>
  <w:rsids>
    <w:rsidRoot w:val="2E4B1814"/>
    <w:rsid w:val="16F7653D"/>
    <w:rsid w:val="2E4B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2024-06-20T12:10:00Z</dcterms:created>
  <dc:creator>Administrator</dc:creator>
  <cp:lastModifiedBy>Administrator</cp:lastModifiedBy>
  <dcterms:modified xsi:type="dcterms:W3CDTF">2024-06-20T12:11:26Z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F9D6B97A91844EB7BA151DE452DC5D63_11</vt:lpwstr>
  </property>
</Properties>
</file>