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rPr>
          <w:rFonts w:hint="eastAsia" w:ascii="仿宋" w:hAnsi="仿宋" w:eastAsia="仿宋" w:cs="仿宋"/>
          <w:sz w:val="28"/>
          <w:szCs w:val="28"/>
        </w:rPr>
      </w:pPr>
      <w:r>
        <w:rPr>
          <w:rFonts w:hint="eastAsia" w:ascii="仿宋" w:hAnsi="仿宋" w:eastAsia="仿宋" w:cs="仿宋"/>
          <w:sz w:val="28"/>
          <w:szCs w:val="28"/>
        </w:rPr>
        <w:t>窗体顶端</w:t>
      </w:r>
    </w:p>
    <w:p>
      <w:pPr>
        <w:pStyle w:val="2"/>
        <w:keepNext w:val="0"/>
        <w:keepLines w:val="0"/>
        <w:widowControl/>
        <w:suppressLineNumbers w:val="0"/>
        <w:spacing w:before="0" w:beforeAutospacing="0" w:after="0" w:afterAutospacing="0" w:line="480" w:lineRule="atLeast"/>
        <w:ind w:left="0" w:right="0"/>
        <w:jc w:val="center"/>
        <w:rPr>
          <w:rFonts w:hint="eastAsia" w:ascii="仿宋" w:hAnsi="仿宋" w:eastAsia="仿宋" w:cs="仿宋"/>
          <w:sz w:val="36"/>
          <w:szCs w:val="36"/>
        </w:rPr>
      </w:pPr>
      <w:r>
        <w:rPr>
          <w:rFonts w:hint="eastAsia" w:ascii="仿宋" w:hAnsi="仿宋" w:eastAsia="仿宋" w:cs="仿宋"/>
          <w:sz w:val="36"/>
          <w:szCs w:val="36"/>
          <w:lang w:val="en-US" w:eastAsia="zh-CN"/>
        </w:rPr>
        <w:t>银川市金凤区疾病预防控制中心远程视频会商音视频设备及网络安全设备升级改造项目单一来源</w:t>
      </w:r>
      <w:r>
        <w:rPr>
          <w:rFonts w:hint="eastAsia" w:ascii="仿宋" w:hAnsi="仿宋" w:eastAsia="仿宋" w:cs="仿宋"/>
          <w:sz w:val="36"/>
          <w:szCs w:val="36"/>
        </w:rPr>
        <w:t>采购结果公告</w:t>
      </w:r>
    </w:p>
    <w:p>
      <w:pPr>
        <w:rPr>
          <w:rFonts w:hint="eastAsi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一、项目编号：</w:t>
      </w:r>
      <w:r>
        <w:rPr>
          <w:rFonts w:hint="eastAsia" w:ascii="仿宋" w:hAnsi="仿宋" w:eastAsia="仿宋" w:cs="仿宋"/>
          <w:b w:val="0"/>
          <w:bCs w:val="0"/>
          <w:color w:val="000000"/>
          <w:sz w:val="28"/>
          <w:szCs w:val="28"/>
        </w:rPr>
        <w:t>ZTSJ-NZC-A23345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rPr>
        <w:t>二、项目名称：</w:t>
      </w:r>
      <w:r>
        <w:rPr>
          <w:rFonts w:hint="eastAsia" w:ascii="仿宋" w:hAnsi="仿宋" w:eastAsia="仿宋" w:cs="仿宋"/>
          <w:b w:val="0"/>
          <w:bCs w:val="0"/>
          <w:color w:val="000000"/>
          <w:sz w:val="28"/>
          <w:szCs w:val="28"/>
        </w:rPr>
        <w:t xml:space="preserve">银川市金凤区疾病预防控制中心远程视频会商音视频设备及网络安全设备升级改造项目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三、中标（成交）信息</w:t>
      </w:r>
      <w:r>
        <w:rPr>
          <w:rFonts w:hint="eastAsia" w:ascii="仿宋" w:hAnsi="仿宋" w:eastAsia="仿宋" w:cs="仿宋"/>
          <w:color w:val="000000"/>
          <w:sz w:val="28"/>
          <w:szCs w:val="28"/>
        </w:rPr>
        <w:t xml:space="preserve"> </w:t>
      </w: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0" w:type="dxa"/>
          <w:left w:w="0" w:type="dxa"/>
          <w:bottom w:w="0" w:type="dxa"/>
          <w:right w:w="0" w:type="dxa"/>
        </w:tblCellMar>
      </w:tblPr>
      <w:tblGrid>
        <w:gridCol w:w="2212"/>
        <w:gridCol w:w="3229"/>
        <w:gridCol w:w="1715"/>
        <w:gridCol w:w="18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229" w:type="pct"/>
            <w:tcBorders>
              <w:tl2br w:val="nil"/>
              <w:tr2bl w:val="nil"/>
            </w:tcBorders>
            <w:shd w:val="clear" w:color="auto" w:fill="E6F0FF"/>
            <w:noWrap/>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供应商名称</w:t>
            </w:r>
          </w:p>
        </w:tc>
        <w:tc>
          <w:tcPr>
            <w:tcW w:w="1795" w:type="pct"/>
            <w:tcBorders>
              <w:tl2br w:val="nil"/>
              <w:tr2bl w:val="nil"/>
            </w:tcBorders>
            <w:shd w:val="clear" w:color="auto" w:fill="E6F0FF"/>
            <w:noWrap/>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供应商地址</w:t>
            </w:r>
          </w:p>
        </w:tc>
        <w:tc>
          <w:tcPr>
            <w:tcW w:w="953" w:type="pct"/>
            <w:tcBorders>
              <w:tl2br w:val="nil"/>
              <w:tr2bl w:val="nil"/>
            </w:tcBorders>
            <w:shd w:val="clear" w:color="auto" w:fill="E6F0FF"/>
            <w:noWrap/>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供应商联系电话</w:t>
            </w:r>
          </w:p>
        </w:tc>
        <w:tc>
          <w:tcPr>
            <w:tcW w:w="1021" w:type="pct"/>
            <w:tcBorders>
              <w:tl2br w:val="nil"/>
              <w:tr2bl w:val="nil"/>
            </w:tcBorders>
            <w:shd w:val="clear" w:color="auto" w:fill="E6F0FF"/>
            <w:noWrap/>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eastAsia" w:ascii="仿宋" w:hAnsi="仿宋" w:eastAsia="仿宋" w:cs="仿宋"/>
                <w:b w:val="0"/>
                <w:bCs w:val="0"/>
                <w:color w:val="auto"/>
                <w:sz w:val="24"/>
                <w:szCs w:val="24"/>
              </w:rPr>
            </w:pPr>
            <w:r>
              <w:rPr>
                <w:rFonts w:hint="eastAsia" w:ascii="仿宋" w:hAnsi="仿宋" w:eastAsia="仿宋" w:cs="仿宋"/>
                <w:b w:val="0"/>
                <w:bCs w:val="0"/>
                <w:color w:val="auto"/>
                <w:kern w:val="0"/>
                <w:sz w:val="24"/>
                <w:szCs w:val="24"/>
                <w:lang w:val="en-US" w:eastAsia="zh-CN" w:bidi="ar"/>
              </w:rPr>
              <w:t>中标（成交）金额(元)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c>
          <w:tcPr>
            <w:tcW w:w="1229" w:type="pc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宁夏立卓科技有限公司</w:t>
            </w:r>
          </w:p>
        </w:tc>
        <w:tc>
          <w:tcPr>
            <w:tcW w:w="1795" w:type="pc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宁夏回族自治区银川市金凤区凤翔街 15 号</w:t>
            </w:r>
          </w:p>
        </w:tc>
        <w:tc>
          <w:tcPr>
            <w:tcW w:w="953" w:type="pc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19995275566</w:t>
            </w:r>
          </w:p>
        </w:tc>
        <w:tc>
          <w:tcPr>
            <w:tcW w:w="1021" w:type="pc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312"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261000.00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Style w:val="9"/>
          <w:rFonts w:hint="eastAsia" w:ascii="仿宋" w:hAnsi="仿宋" w:eastAsia="仿宋" w:cs="仿宋"/>
          <w:b/>
          <w:bCs/>
          <w:color w:val="000000"/>
          <w:sz w:val="28"/>
          <w:szCs w:val="28"/>
        </w:rPr>
        <w:t>四、主要标的信息</w:t>
      </w:r>
      <w:r>
        <w:rPr>
          <w:rFonts w:hint="eastAsia" w:ascii="仿宋" w:hAnsi="仿宋" w:eastAsia="仿宋" w:cs="仿宋"/>
          <w:color w:val="000000"/>
          <w:sz w:val="28"/>
          <w:szCs w:val="28"/>
        </w:rPr>
        <w:t xml:space="preserve"> </w:t>
      </w:r>
    </w:p>
    <w:tbl>
      <w:tblPr>
        <w:tblStyle w:val="7"/>
        <w:tblW w:w="5014" w:type="pct"/>
        <w:tblInd w:w="0" w:type="dxa"/>
        <w:tblBorders>
          <w:top w:val="single" w:color="A5BED2" w:sz="4" w:space="0"/>
          <w:left w:val="single" w:color="A5BED2" w:sz="4" w:space="0"/>
          <w:bottom w:val="single" w:color="A5BED2" w:sz="4" w:space="0"/>
          <w:right w:val="single" w:color="A5BED2"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57"/>
        <w:gridCol w:w="1616"/>
        <w:gridCol w:w="3045"/>
        <w:gridCol w:w="901"/>
        <w:gridCol w:w="1501"/>
      </w:tblGrid>
      <w:tr>
        <w:tblPrEx>
          <w:tblBorders>
            <w:top w:val="single" w:color="A5BED2" w:sz="4" w:space="0"/>
            <w:left w:val="single" w:color="A5BED2" w:sz="4" w:space="0"/>
            <w:bottom w:val="single" w:color="A5BED2" w:sz="4" w:space="0"/>
            <w:right w:val="single" w:color="A5BED2" w:sz="4" w:space="0"/>
            <w:insideH w:val="none" w:color="auto" w:sz="0" w:space="0"/>
            <w:insideV w:val="none" w:color="auto" w:sz="0" w:space="0"/>
          </w:tblBorders>
          <w:shd w:val="clear" w:color="auto" w:fill="auto"/>
          <w:tblCellMar>
            <w:top w:w="0" w:type="dxa"/>
            <w:left w:w="0" w:type="dxa"/>
            <w:bottom w:w="0" w:type="dxa"/>
            <w:right w:w="0" w:type="dxa"/>
          </w:tblCellMar>
        </w:tblPrEx>
        <w:trPr>
          <w:trHeight w:val="581" w:hRule="atLeast"/>
        </w:trPr>
        <w:tc>
          <w:tcPr>
            <w:tcW w:w="902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bCs/>
                <w:color w:val="000000"/>
                <w:kern w:val="0"/>
                <w:sz w:val="24"/>
                <w:szCs w:val="24"/>
                <w:lang w:val="en-US" w:eastAsia="zh-CN" w:bidi="ar"/>
              </w:rPr>
              <w:t>货物类</w:t>
            </w:r>
          </w:p>
        </w:tc>
      </w:tr>
      <w:tr>
        <w:tblPrEx>
          <w:tblBorders>
            <w:top w:val="single" w:color="A5BED2" w:sz="4" w:space="0"/>
            <w:left w:val="single" w:color="A5BED2" w:sz="4" w:space="0"/>
            <w:bottom w:val="single" w:color="A5BED2" w:sz="4" w:space="0"/>
            <w:right w:val="single" w:color="A5BED2" w:sz="4" w:space="0"/>
            <w:insideH w:val="none" w:color="auto" w:sz="0" w:space="0"/>
            <w:insideV w:val="none" w:color="auto" w:sz="0" w:space="0"/>
          </w:tblBorders>
          <w:shd w:val="clear" w:color="auto" w:fill="auto"/>
          <w:tblCellMar>
            <w:top w:w="0" w:type="dxa"/>
            <w:left w:w="0" w:type="dxa"/>
            <w:bottom w:w="0" w:type="dxa"/>
            <w:right w:w="0" w:type="dxa"/>
          </w:tblCellMar>
        </w:tblPrEx>
        <w:trPr>
          <w:trHeight w:val="581" w:hRule="atLeast"/>
        </w:trPr>
        <w:tc>
          <w:tcPr>
            <w:tcW w:w="19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val="0"/>
                <w:bCs w:val="0"/>
                <w:color w:val="000000"/>
                <w:kern w:val="0"/>
                <w:sz w:val="24"/>
                <w:szCs w:val="24"/>
                <w:lang w:val="en-US" w:eastAsia="zh-CN" w:bidi="ar"/>
              </w:rPr>
              <w:t>标的名称</w:t>
            </w:r>
          </w:p>
        </w:tc>
        <w:tc>
          <w:tcPr>
            <w:tcW w:w="1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val="0"/>
                <w:bCs w:val="0"/>
                <w:color w:val="000000"/>
                <w:kern w:val="0"/>
                <w:sz w:val="24"/>
                <w:szCs w:val="24"/>
                <w:lang w:val="en-US" w:eastAsia="zh-CN" w:bidi="ar"/>
              </w:rPr>
              <w:t>品牌（如有）</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val="0"/>
                <w:bCs w:val="0"/>
                <w:color w:val="000000"/>
                <w:kern w:val="0"/>
                <w:sz w:val="24"/>
                <w:szCs w:val="24"/>
                <w:lang w:val="en-US" w:eastAsia="zh-CN" w:bidi="ar"/>
              </w:rPr>
              <w:t>规格型号</w:t>
            </w:r>
          </w:p>
        </w:tc>
        <w:tc>
          <w:tcPr>
            <w:tcW w:w="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val="0"/>
                <w:bCs w:val="0"/>
                <w:color w:val="000000"/>
                <w:kern w:val="0"/>
                <w:sz w:val="24"/>
                <w:szCs w:val="24"/>
                <w:lang w:val="en-US" w:eastAsia="zh-CN" w:bidi="ar"/>
              </w:rPr>
              <w:t>数量</w:t>
            </w:r>
          </w:p>
        </w:tc>
        <w:tc>
          <w:tcPr>
            <w:tcW w:w="15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6F0FF"/>
            <w:noWrap/>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eastAsia" w:ascii="仿宋" w:hAnsi="仿宋" w:eastAsia="仿宋" w:cs="仿宋"/>
                <w:color w:val="auto"/>
                <w:sz w:val="24"/>
                <w:szCs w:val="24"/>
              </w:rPr>
            </w:pPr>
            <w:r>
              <w:rPr>
                <w:rFonts w:hint="eastAsia" w:ascii="仿宋" w:hAnsi="仿宋" w:eastAsia="仿宋" w:cs="仿宋"/>
                <w:b w:val="0"/>
                <w:bCs w:val="0"/>
                <w:color w:val="000000"/>
                <w:kern w:val="0"/>
                <w:sz w:val="24"/>
                <w:szCs w:val="24"/>
                <w:lang w:val="en-US" w:eastAsia="zh-CN" w:bidi="ar"/>
              </w:rPr>
              <w:t>单价(元)</w:t>
            </w:r>
          </w:p>
        </w:tc>
      </w:tr>
      <w:tr>
        <w:tblPrEx>
          <w:tblBorders>
            <w:top w:val="single" w:color="A5BED2" w:sz="4" w:space="0"/>
            <w:left w:val="single" w:color="A5BED2" w:sz="4" w:space="0"/>
            <w:bottom w:val="single" w:color="A5BED2" w:sz="4" w:space="0"/>
            <w:right w:val="single" w:color="A5BED2" w:sz="4" w:space="0"/>
            <w:insideH w:val="none" w:color="auto" w:sz="0" w:space="0"/>
            <w:insideV w:val="none" w:color="auto" w:sz="0" w:space="0"/>
          </w:tblBorders>
          <w:shd w:val="clear" w:color="auto" w:fill="auto"/>
          <w:tblCellMar>
            <w:top w:w="0" w:type="dxa"/>
            <w:left w:w="0" w:type="dxa"/>
            <w:bottom w:w="0" w:type="dxa"/>
            <w:right w:w="0" w:type="dxa"/>
          </w:tblCellMar>
        </w:tblPrEx>
        <w:trPr>
          <w:trHeight w:val="595" w:hRule="atLeast"/>
        </w:trPr>
        <w:tc>
          <w:tcPr>
            <w:tcW w:w="19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远程视频会商音视频设备及网络安全设备</w:t>
            </w:r>
          </w:p>
        </w:tc>
        <w:tc>
          <w:tcPr>
            <w:tcW w:w="16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304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TopVPN6000(FT-B20)</w:t>
            </w:r>
            <w:r>
              <w:rPr>
                <w:rFonts w:hint="eastAsia" w:ascii="仿宋" w:hAnsi="仿宋" w:eastAsia="仿宋" w:cs="仿宋"/>
                <w:color w:val="auto"/>
                <w:sz w:val="24"/>
                <w:szCs w:val="24"/>
                <w:lang w:val="en-US" w:eastAsia="zh-CN"/>
              </w:rPr>
              <w:t>、NGFW4000-UF(ZX-A)(千兆)V3、XT702等</w:t>
            </w:r>
          </w:p>
        </w:tc>
        <w:tc>
          <w:tcPr>
            <w:tcW w:w="9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60" w:type="dxa"/>
              <w:left w:w="120" w:type="dxa"/>
              <w:bottom w:w="60" w:type="dxa"/>
              <w:right w:w="120" w:type="dxa"/>
            </w:tcMar>
            <w:vAlign w:val="center"/>
          </w:tcPr>
          <w:p>
            <w:pPr>
              <w:keepNext w:val="0"/>
              <w:keepLines w:val="0"/>
              <w:widowControl/>
              <w:suppressLineNumbers w:val="0"/>
              <w:spacing w:line="240" w:lineRule="auto"/>
              <w:jc w:val="center"/>
              <w:textAlignment w:val="top"/>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261000.00</w:t>
            </w:r>
          </w:p>
        </w:tc>
      </w:tr>
    </w:tbl>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评审专家（单一来源采购人员）名单：</w:t>
      </w:r>
      <w:r>
        <w:rPr>
          <w:rFonts w:hint="eastAsia" w:ascii="仿宋" w:hAnsi="仿宋" w:eastAsia="仿宋" w:cs="仿宋"/>
          <w:b w:val="0"/>
          <w:bCs w:val="0"/>
          <w:color w:val="000000"/>
          <w:sz w:val="28"/>
          <w:szCs w:val="28"/>
          <w:lang w:val="en-US" w:eastAsia="zh-CN"/>
        </w:rPr>
        <w:t xml:space="preserve"> 杨凯、马卫锋</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w:t>
      </w:r>
      <w:r>
        <w:rPr>
          <w:rFonts w:hint="eastAsia" w:ascii="仿宋" w:hAnsi="仿宋" w:eastAsia="仿宋" w:cs="仿宋"/>
          <w:b/>
          <w:bCs/>
          <w:color w:val="000000"/>
          <w:sz w:val="28"/>
          <w:szCs w:val="28"/>
        </w:rPr>
        <w:t>采购人代表</w:t>
      </w:r>
      <w:r>
        <w:rPr>
          <w:rFonts w:hint="eastAsia" w:ascii="仿宋" w:hAnsi="仿宋" w:eastAsia="仿宋" w:cs="仿宋"/>
          <w:color w:val="000000"/>
          <w:sz w:val="28"/>
          <w:szCs w:val="28"/>
        </w:rPr>
        <w:t>：王秀菊</w:t>
      </w:r>
      <w:r>
        <w:rPr>
          <w:rFonts w:hint="eastAsia" w:ascii="仿宋" w:hAnsi="仿宋" w:eastAsia="仿宋" w:cs="仿宋"/>
          <w:color w:val="000000"/>
          <w:sz w:val="28"/>
          <w:szCs w:val="28"/>
          <w:lang w:val="en-US" w:eastAsia="zh-CN"/>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六、代理服务收费标准及金额：</w:t>
      </w:r>
      <w:r>
        <w:rPr>
          <w:rFonts w:hint="eastAsia" w:ascii="仿宋" w:hAnsi="仿宋" w:eastAsia="仿宋" w:cs="仿宋"/>
          <w:color w:val="000000"/>
          <w:sz w:val="28"/>
          <w:szCs w:val="28"/>
          <w:lang w:val="en-US" w:eastAsia="zh-CN"/>
        </w:rPr>
        <w:t>3915</w:t>
      </w:r>
      <w:r>
        <w:rPr>
          <w:rFonts w:hint="eastAsia" w:ascii="仿宋" w:hAnsi="仿宋" w:eastAsia="仿宋" w:cs="仿宋"/>
          <w:color w:val="000000"/>
          <w:sz w:val="28"/>
          <w:szCs w:val="28"/>
        </w:rPr>
        <w:t xml:space="preserve">元。收费标准：参考原国家计委计价格〔2002〕1980号文的计算方法收取。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七、公告期限（自本公告发布之日起1个工作日）：</w:t>
      </w:r>
      <w:r>
        <w:rPr>
          <w:rFonts w:hint="eastAsia" w:ascii="仿宋" w:hAnsi="仿宋" w:eastAsia="仿宋" w:cs="仿宋"/>
          <w:color w:val="000000"/>
          <w:sz w:val="28"/>
          <w:szCs w:val="28"/>
        </w:rPr>
        <w:t>  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rPr>
        <w:t xml:space="preserve">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八、其他补充事宜：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lang w:val="en-US" w:eastAsia="zh-CN"/>
        </w:rPr>
        <w:t>无</w:t>
      </w:r>
      <w:r>
        <w:rPr>
          <w:rFonts w:hint="eastAsia" w:ascii="仿宋" w:hAnsi="仿宋" w:eastAsia="仿宋" w:cs="仿宋"/>
          <w:b w:val="0"/>
          <w:bCs w:val="0"/>
          <w:color w:val="000000"/>
          <w:sz w:val="28"/>
          <w:szCs w:val="2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九、凡对本次公告内容提出询问，请按以下方式联系。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60" w:right="0" w:hanging="560" w:hanging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b/>
          <w:bCs/>
          <w:color w:val="000000"/>
          <w:sz w:val="28"/>
          <w:szCs w:val="28"/>
        </w:rPr>
        <w:t>1、采购人信息</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名</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称：银川市金凤区疾病预防控制中心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址：金凤区长城路与满城南街交叉口向南500米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联系方式：0951-5034850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b/>
          <w:bCs/>
          <w:color w:val="000000"/>
          <w:sz w:val="28"/>
          <w:szCs w:val="28"/>
        </w:rPr>
        <w:t>2、采购代理机构信息</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名</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称：中天世纪国际招标有限公司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地</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址：银川市金凤区新昌西路110号金钻名座财富中心13层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联系方式：0951-5156366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b/>
          <w:bCs/>
          <w:color w:val="000000"/>
          <w:sz w:val="28"/>
          <w:szCs w:val="28"/>
        </w:rPr>
        <w:t>3、项目联系方式</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采购人项目联系人：梁飞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电</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话：0951-5034850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代理机构项目联系人：蒋浩  孟琳琳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电</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话：0951-5156366　</w:t>
      </w:r>
    </w:p>
    <w:p>
      <w:pPr>
        <w:pStyle w:val="33"/>
        <w:rPr>
          <w:rFonts w:hint="eastAsia" w:ascii="仿宋" w:hAnsi="仿宋" w:eastAsia="仿宋" w:cs="仿宋"/>
          <w:sz w:val="28"/>
          <w:szCs w:val="28"/>
        </w:rPr>
      </w:pPr>
      <w:r>
        <w:rPr>
          <w:rFonts w:hint="eastAsia" w:ascii="仿宋" w:hAnsi="仿宋" w:eastAsia="仿宋" w:cs="仿宋"/>
          <w:sz w:val="28"/>
          <w:szCs w:val="28"/>
        </w:rPr>
        <w:t>窗体底端</w:t>
      </w:r>
    </w:p>
    <w:p>
      <w:pPr>
        <w:pStyle w:val="32"/>
        <w:rPr>
          <w:rFonts w:hint="eastAsia" w:ascii="仿宋" w:hAnsi="仿宋" w:eastAsia="仿宋" w:cs="仿宋"/>
          <w:sz w:val="28"/>
          <w:szCs w:val="28"/>
        </w:rPr>
      </w:pPr>
      <w:r>
        <w:rPr>
          <w:rFonts w:hint="eastAsia" w:ascii="仿宋" w:hAnsi="仿宋" w:eastAsia="仿宋" w:cs="仿宋"/>
          <w:sz w:val="28"/>
          <w:szCs w:val="28"/>
        </w:rPr>
        <w:t>窗体顶端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right"/>
        <w:rPr>
          <w:rFonts w:hint="eastAsia" w:ascii="仿宋" w:hAnsi="仿宋" w:eastAsia="仿宋" w:cs="仿宋"/>
          <w:color w:val="00000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right"/>
        <w:rPr>
          <w:rFonts w:hint="eastAsia" w:ascii="仿宋" w:hAnsi="仿宋" w:eastAsia="仿宋" w:cs="仿宋"/>
          <w:color w:val="000000"/>
          <w:sz w:val="28"/>
          <w:szCs w:val="28"/>
        </w:rPr>
      </w:pPr>
      <w:r>
        <w:rPr>
          <w:rFonts w:hint="eastAsia" w:ascii="仿宋" w:hAnsi="仿宋" w:eastAsia="仿宋" w:cs="仿宋"/>
          <w:color w:val="000000"/>
          <w:sz w:val="28"/>
          <w:szCs w:val="28"/>
        </w:rPr>
        <w:t>代理机构</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中天世纪国际招标有限公司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right"/>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发布日期：2023年12月13日</w:t>
      </w:r>
    </w:p>
    <w:p>
      <w:pPr>
        <w:pStyle w:val="33"/>
        <w:rPr>
          <w:rFonts w:hint="eastAsia" w:ascii="仿宋" w:hAnsi="仿宋" w:eastAsia="仿宋" w:cs="仿宋"/>
          <w:sz w:val="28"/>
          <w:szCs w:val="28"/>
        </w:rPr>
      </w:pPr>
      <w:r>
        <w:rPr>
          <w:rFonts w:hint="eastAsia" w:ascii="仿宋" w:hAnsi="仿宋" w:eastAsia="仿宋" w:cs="仿宋"/>
          <w:sz w:val="28"/>
          <w:szCs w:val="28"/>
        </w:rPr>
        <w:t>窗体底端</w:t>
      </w:r>
    </w:p>
    <w:p>
      <w:pPr>
        <w:rPr>
          <w:rFonts w:hint="eastAsia" w:ascii="仿宋" w:hAnsi="仿宋" w:eastAsia="仿宋" w:cs="仿宋"/>
          <w:sz w:val="28"/>
          <w:szCs w:val="28"/>
        </w:rPr>
      </w:pPr>
      <w:bookmarkStart w:id="0" w:name="_GoBack"/>
      <w:bookmarkEnd w:id="0"/>
    </w:p>
    <w:sectPr>
      <w:pgSz w:w="11906" w:h="16838"/>
      <w:pgMar w:top="1440" w:right="1576" w:bottom="1440" w:left="157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B63D3"/>
    <w:multiLevelType w:val="singleLevel"/>
    <w:tmpl w:val="4ACB63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mUwNTlmODI4MzhiNTYzZjIxZjZmYzhkYmMyMjIifQ=="/>
  </w:docVars>
  <w:rsids>
    <w:rsidRoot w:val="00000000"/>
    <w:rsid w:val="018E08CA"/>
    <w:rsid w:val="0C59557F"/>
    <w:rsid w:val="164D3185"/>
    <w:rsid w:val="214B2094"/>
    <w:rsid w:val="247022A7"/>
    <w:rsid w:val="2C416A03"/>
    <w:rsid w:val="39FF1CAB"/>
    <w:rsid w:val="3C73731E"/>
    <w:rsid w:val="457F7685"/>
    <w:rsid w:val="4B0302F7"/>
    <w:rsid w:val="4EA17A59"/>
    <w:rsid w:val="50441B29"/>
    <w:rsid w:val="52C5363A"/>
    <w:rsid w:val="58FC0F46"/>
    <w:rsid w:val="59994E7A"/>
    <w:rsid w:val="5AAB06F3"/>
    <w:rsid w:val="6CE16E6B"/>
    <w:rsid w:val="6DF52E75"/>
    <w:rsid w:val="70F829D5"/>
    <w:rsid w:val="79345E24"/>
    <w:rsid w:val="7B87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sz w:val="24"/>
    </w:rPr>
  </w:style>
  <w:style w:type="paragraph" w:styleId="4">
    <w:name w:val="Body Text Indent"/>
    <w:basedOn w:val="1"/>
    <w:qFormat/>
    <w:uiPriority w:val="0"/>
    <w:pPr>
      <w:spacing w:line="500" w:lineRule="exact"/>
      <w:ind w:left="1372" w:firstLine="42"/>
    </w:pPr>
    <w:rPr>
      <w:sz w:val="3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spacing w:after="120" w:line="240" w:lineRule="auto"/>
      <w:ind w:left="420" w:leftChars="200" w:firstLine="420" w:firstLineChars="200"/>
    </w:pPr>
    <w:rPr>
      <w:sz w:val="21"/>
      <w:szCs w:val="24"/>
    </w:rPr>
  </w:style>
  <w:style w:type="character" w:styleId="9">
    <w:name w:val="Strong"/>
    <w:basedOn w:val="8"/>
    <w:qFormat/>
    <w:uiPriority w:val="0"/>
    <w:rPr>
      <w:b/>
      <w:bCs/>
    </w:rPr>
  </w:style>
  <w:style w:type="character" w:styleId="10">
    <w:name w:val="FollowedHyperlink"/>
    <w:basedOn w:val="8"/>
    <w:qFormat/>
    <w:uiPriority w:val="0"/>
    <w:rPr>
      <w:color w:val="145CCD"/>
      <w:sz w:val="15"/>
      <w:szCs w:val="15"/>
      <w:u w:val="none"/>
    </w:rPr>
  </w:style>
  <w:style w:type="character" w:styleId="11">
    <w:name w:val="Hyperlink"/>
    <w:basedOn w:val="8"/>
    <w:qFormat/>
    <w:uiPriority w:val="0"/>
    <w:rPr>
      <w:rFonts w:hint="eastAsia" w:ascii="微软雅黑" w:hAnsi="微软雅黑" w:eastAsia="微软雅黑" w:cs="微软雅黑"/>
      <w:color w:val="145CCD"/>
      <w:sz w:val="14"/>
      <w:szCs w:val="14"/>
      <w:u w:val="none"/>
      <w:shd w:val="clear" w:fill="000080"/>
    </w:rPr>
  </w:style>
  <w:style w:type="paragraph" w:customStyle="1" w:styleId="12">
    <w:name w:val="Default"/>
    <w:next w:val="1"/>
    <w:qFormat/>
    <w:uiPriority w:val="99"/>
    <w:pPr>
      <w:widowControl w:val="0"/>
      <w:autoSpaceDE w:val="0"/>
      <w:autoSpaceDN w:val="0"/>
      <w:adjustRightInd w:val="0"/>
    </w:pPr>
    <w:rPr>
      <w:rFonts w:ascii="宋体" w:hAnsi="宋体" w:eastAsia="宋体" w:cs="Times New Roman"/>
      <w:color w:val="000000"/>
      <w:sz w:val="24"/>
      <w:szCs w:val="22"/>
      <w:lang w:val="en-US" w:eastAsia="zh-CN" w:bidi="ar-SA"/>
    </w:rPr>
  </w:style>
  <w:style w:type="character" w:customStyle="1" w:styleId="13">
    <w:name w:val="msg"/>
    <w:basedOn w:val="8"/>
    <w:qFormat/>
    <w:uiPriority w:val="0"/>
    <w:rPr>
      <w:color w:val="FFFFFF"/>
      <w:sz w:val="14"/>
      <w:szCs w:val="14"/>
    </w:rPr>
  </w:style>
  <w:style w:type="character" w:customStyle="1" w:styleId="14">
    <w:name w:val="msg1"/>
    <w:basedOn w:val="8"/>
    <w:qFormat/>
    <w:uiPriority w:val="0"/>
    <w:rPr>
      <w:color w:val="FFFFFF"/>
      <w:sz w:val="14"/>
      <w:szCs w:val="14"/>
    </w:rPr>
  </w:style>
  <w:style w:type="character" w:customStyle="1" w:styleId="15">
    <w:name w:val="recordsinfoblock"/>
    <w:basedOn w:val="8"/>
    <w:qFormat/>
    <w:uiPriority w:val="0"/>
    <w:rPr>
      <w:rFonts w:hint="eastAsia" w:ascii="微软雅黑" w:hAnsi="微软雅黑" w:eastAsia="微软雅黑" w:cs="微软雅黑"/>
      <w:sz w:val="14"/>
      <w:szCs w:val="14"/>
    </w:rPr>
  </w:style>
  <w:style w:type="character" w:customStyle="1" w:styleId="16">
    <w:name w:val="layui-this"/>
    <w:basedOn w:val="8"/>
    <w:qFormat/>
    <w:uiPriority w:val="0"/>
    <w:rPr>
      <w:bdr w:val="single" w:color="EEEEEE" w:sz="4" w:space="0"/>
      <w:shd w:val="clear" w:fill="FFFFFF"/>
    </w:rPr>
  </w:style>
  <w:style w:type="character" w:customStyle="1" w:styleId="17">
    <w:name w:val="nav_link"/>
    <w:basedOn w:val="8"/>
    <w:qFormat/>
    <w:uiPriority w:val="0"/>
  </w:style>
  <w:style w:type="character" w:customStyle="1" w:styleId="18">
    <w:name w:val="space"/>
    <w:basedOn w:val="8"/>
    <w:qFormat/>
    <w:uiPriority w:val="0"/>
  </w:style>
  <w:style w:type="character" w:customStyle="1" w:styleId="19">
    <w:name w:val="dhxtabbar_tabs_text_test_dhx_skyblue"/>
    <w:basedOn w:val="8"/>
    <w:qFormat/>
    <w:uiPriority w:val="0"/>
    <w:rPr>
      <w:rFonts w:hint="eastAsia" w:ascii="微软雅黑" w:hAnsi="微软雅黑" w:eastAsia="微软雅黑" w:cs="微软雅黑"/>
      <w:b/>
      <w:bCs/>
      <w:color w:val="000000"/>
      <w:sz w:val="13"/>
      <w:szCs w:val="13"/>
    </w:rPr>
  </w:style>
  <w:style w:type="character" w:customStyle="1" w:styleId="20">
    <w:name w:val="dhxform_item_required"/>
    <w:basedOn w:val="8"/>
    <w:qFormat/>
    <w:uiPriority w:val="0"/>
    <w:rPr>
      <w:color w:val="B2B2B2"/>
    </w:rPr>
  </w:style>
  <w:style w:type="character" w:customStyle="1" w:styleId="21">
    <w:name w:val="dhxform_item_required1"/>
    <w:basedOn w:val="8"/>
    <w:qFormat/>
    <w:uiPriority w:val="0"/>
    <w:rPr>
      <w:color w:val="FF0000"/>
    </w:rPr>
  </w:style>
  <w:style w:type="character" w:customStyle="1" w:styleId="22">
    <w:name w:val="dhtmlxcalendar_selected_date"/>
    <w:basedOn w:val="8"/>
    <w:qFormat/>
    <w:uiPriority w:val="0"/>
  </w:style>
  <w:style w:type="character" w:customStyle="1" w:styleId="23">
    <w:name w:val="first-child"/>
    <w:basedOn w:val="8"/>
    <w:qFormat/>
    <w:uiPriority w:val="0"/>
  </w:style>
  <w:style w:type="character" w:customStyle="1" w:styleId="24">
    <w:name w:val="selectedtreerow"/>
    <w:basedOn w:val="8"/>
    <w:qFormat/>
    <w:uiPriority w:val="0"/>
    <w:rPr>
      <w:rFonts w:hint="eastAsia" w:ascii="微软雅黑" w:hAnsi="微软雅黑" w:eastAsia="微软雅黑" w:cs="微软雅黑"/>
      <w:color w:val="000000"/>
      <w:sz w:val="14"/>
      <w:szCs w:val="14"/>
      <w:shd w:val="clear" w:fill="B5DEFF"/>
    </w:rPr>
  </w:style>
  <w:style w:type="character" w:customStyle="1" w:styleId="25">
    <w:name w:val="selectedtreerow1"/>
    <w:basedOn w:val="8"/>
    <w:qFormat/>
    <w:uiPriority w:val="0"/>
  </w:style>
  <w:style w:type="character" w:customStyle="1" w:styleId="26">
    <w:name w:val="selectedtreerow2"/>
    <w:basedOn w:val="8"/>
    <w:qFormat/>
    <w:uiPriority w:val="0"/>
    <w:rPr>
      <w:rFonts w:hint="eastAsia" w:ascii="微软雅黑" w:hAnsi="微软雅黑" w:eastAsia="微软雅黑" w:cs="微软雅黑"/>
      <w:color w:val="000000"/>
      <w:sz w:val="14"/>
      <w:szCs w:val="14"/>
      <w:shd w:val="clear" w:fill="B5DEFF"/>
    </w:rPr>
  </w:style>
  <w:style w:type="character" w:customStyle="1" w:styleId="27">
    <w:name w:val="selectedtreerow_lor7"/>
    <w:basedOn w:val="8"/>
    <w:qFormat/>
    <w:uiPriority w:val="0"/>
    <w:rPr>
      <w:color w:val="000000"/>
      <w:shd w:val="clear" w:fill="B5DEFF"/>
    </w:rPr>
  </w:style>
  <w:style w:type="character" w:customStyle="1" w:styleId="28">
    <w:name w:val="selectedtreerow_lor8"/>
    <w:basedOn w:val="8"/>
    <w:qFormat/>
    <w:uiPriority w:val="0"/>
  </w:style>
  <w:style w:type="character" w:customStyle="1" w:styleId="29">
    <w:name w:val="selectedtreerow_lor9"/>
    <w:basedOn w:val="8"/>
    <w:qFormat/>
    <w:uiPriority w:val="0"/>
    <w:rPr>
      <w:color w:val="000000"/>
      <w:shd w:val="clear" w:fill="B5DEFF"/>
    </w:rPr>
  </w:style>
  <w:style w:type="character" w:customStyle="1" w:styleId="30">
    <w:name w:val="standarttreerow8"/>
    <w:basedOn w:val="8"/>
    <w:qFormat/>
    <w:uiPriority w:val="0"/>
  </w:style>
  <w:style w:type="character" w:customStyle="1" w:styleId="31">
    <w:name w:val="dhxform_info"/>
    <w:basedOn w:val="8"/>
    <w:qFormat/>
    <w:uiPriority w:val="0"/>
    <w:rPr>
      <w:rFonts w:hint="eastAsia" w:ascii="微软雅黑" w:hAnsi="微软雅黑" w:eastAsia="微软雅黑" w:cs="微软雅黑"/>
      <w:color w:val="808080"/>
      <w:sz w:val="12"/>
      <w:szCs w:val="12"/>
    </w:rPr>
  </w:style>
  <w:style w:type="paragraph" w:customStyle="1" w:styleId="32">
    <w:name w:val="_Style 27"/>
    <w:basedOn w:val="1"/>
    <w:next w:val="1"/>
    <w:qFormat/>
    <w:uiPriority w:val="0"/>
    <w:pPr>
      <w:pBdr>
        <w:bottom w:val="single" w:color="auto" w:sz="6" w:space="1"/>
      </w:pBdr>
      <w:jc w:val="center"/>
    </w:pPr>
    <w:rPr>
      <w:rFonts w:ascii="Arial" w:eastAsia="宋体"/>
      <w:vanish/>
      <w:sz w:val="16"/>
    </w:rPr>
  </w:style>
  <w:style w:type="paragraph" w:customStyle="1" w:styleId="33">
    <w:name w:val="_Style 28"/>
    <w:basedOn w:val="1"/>
    <w:next w:val="1"/>
    <w:qFormat/>
    <w:uiPriority w:val="0"/>
    <w:pPr>
      <w:pBdr>
        <w:top w:val="single" w:color="auto" w:sz="6" w:space="1"/>
      </w:pBdr>
      <w:jc w:val="center"/>
    </w:pPr>
    <w:rPr>
      <w:rFonts w:ascii="Arial" w:eastAsia="宋体"/>
      <w:vanish/>
      <w:sz w:val="16"/>
    </w:rPr>
  </w:style>
  <w:style w:type="character" w:customStyle="1" w:styleId="34">
    <w:name w:val="selectedtreerow_lor"/>
    <w:basedOn w:val="8"/>
    <w:qFormat/>
    <w:uiPriority w:val="0"/>
  </w:style>
  <w:style w:type="character" w:customStyle="1" w:styleId="35">
    <w:name w:val="selectedtreerow_lor1"/>
    <w:basedOn w:val="8"/>
    <w:qFormat/>
    <w:uiPriority w:val="0"/>
    <w:rPr>
      <w:rFonts w:hint="eastAsia" w:ascii="微软雅黑" w:hAnsi="微软雅黑" w:eastAsia="微软雅黑" w:cs="微软雅黑"/>
      <w:color w:val="000000"/>
      <w:sz w:val="14"/>
      <w:szCs w:val="14"/>
      <w:shd w:val="clear" w:fill="B5DEFF"/>
    </w:rPr>
  </w:style>
  <w:style w:type="character" w:customStyle="1" w:styleId="36">
    <w:name w:val="selectedtreerow_lor2"/>
    <w:basedOn w:val="8"/>
    <w:qFormat/>
    <w:uiPriority w:val="0"/>
    <w:rPr>
      <w:rFonts w:hint="eastAsia" w:ascii="微软雅黑" w:hAnsi="微软雅黑" w:eastAsia="微软雅黑" w:cs="微软雅黑"/>
      <w:color w:val="000000"/>
      <w:sz w:val="14"/>
      <w:szCs w:val="14"/>
      <w:shd w:val="clear" w:fill="B5DEFF"/>
    </w:rPr>
  </w:style>
  <w:style w:type="character" w:customStyle="1" w:styleId="37">
    <w:name w:val="standarttreerow"/>
    <w:basedOn w:val="8"/>
    <w:qFormat/>
    <w:uiPriority w:val="0"/>
    <w:rPr>
      <w:rFonts w:hint="eastAsia"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496</Words>
  <Characters>620</Characters>
  <Lines>0</Lines>
  <Paragraphs>0</Paragraphs>
  <TotalTime>0</TotalTime>
  <ScaleCrop>false</ScaleCrop>
  <LinksUpToDate>false</LinksUpToDate>
  <CharactersWithSpaces>743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2022-06-20T10:46:00Z</dcterms:created>
  <dc:creator>hyl</dc:creator>
  <cp:lastModifiedBy>Essie</cp:lastModifiedBy>
  <cp:lastPrinted>2022-06-20T10:48:00Z</cp:lastPrinted>
  <dcterms:modified xsi:type="dcterms:W3CDTF">2023-12-13T06:14:59Z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E871A9C0FA2D4CBC8DA020F8CAE328EC</vt:lpwstr>
  </property>
</Properties>
</file>