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94420">
      <w:pPr>
        <w:spacing w:before="104" w:line="218" w:lineRule="auto"/>
        <w:jc w:val="center"/>
        <w:rPr>
          <w:rFonts w:ascii="仿宋" w:hAnsi="仿宋" w:eastAsia="仿宋" w:cs="仿宋"/>
          <w:lang w:eastAsia="zh-CN"/>
        </w:rPr>
      </w:pPr>
      <w:r>
        <w:rPr>
          <w:rFonts w:hint="eastAsia" w:ascii="仿宋" w:hAnsi="仿宋" w:eastAsia="仿宋" w:cs="仿宋"/>
          <w:sz w:val="32"/>
          <w:szCs w:val="32"/>
          <w:lang w:eastAsia="zh-CN"/>
          <w14:textOutline w14:w="5803" w14:cap="flat" w14:cmpd="sng" w14:algn="ctr">
            <w14:solidFill>
              <w14:srgbClr w14:val="000000"/>
            </w14:solidFill>
            <w14:prstDash w14:val="solid"/>
            <w14:miter w14:val="0"/>
          </w14:textOutline>
        </w:rPr>
        <w:t>银川市新闻传媒中心2025年信息系统等保测评项目招标公告</w:t>
      </w:r>
    </w:p>
    <w:p w14:paraId="1A453A99">
      <w:pPr>
        <w:pStyle w:val="3"/>
        <w:spacing w:line="265" w:lineRule="auto"/>
        <w:rPr>
          <w:rFonts w:ascii="仿宋" w:hAnsi="仿宋" w:eastAsia="仿宋" w:cs="仿宋"/>
          <w:lang w:eastAsia="zh-CN"/>
        </w:rPr>
      </w:pPr>
    </w:p>
    <w:p w14:paraId="705A3218">
      <w:pPr>
        <w:spacing w:line="560" w:lineRule="exact"/>
        <w:rPr>
          <w:rFonts w:ascii="仿宋" w:hAnsi="仿宋" w:eastAsia="仿宋" w:cs="仿宋"/>
          <w:b/>
          <w:bCs/>
          <w:color w:val="auto"/>
          <w:spacing w:val="-10"/>
          <w:sz w:val="28"/>
          <w:szCs w:val="28"/>
          <w:lang w:eastAsia="zh-CN"/>
        </w:rPr>
      </w:pPr>
      <w:r>
        <w:rPr>
          <w:rFonts w:hint="eastAsia" w:ascii="仿宋" w:hAnsi="仿宋" w:eastAsia="仿宋" w:cs="仿宋"/>
          <w:b/>
          <w:bCs/>
          <w:color w:val="auto"/>
          <w:spacing w:val="-10"/>
          <w:sz w:val="28"/>
          <w:szCs w:val="28"/>
          <w:lang w:eastAsia="zh-CN"/>
        </w:rPr>
        <w:t>一、项目基本情况</w:t>
      </w:r>
    </w:p>
    <w:p w14:paraId="72603619">
      <w:pPr>
        <w:spacing w:line="560" w:lineRule="exact"/>
        <w:ind w:left="2028" w:leftChars="223" w:hanging="1560" w:hangingChars="6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1.项目名称：银川市新闻传媒中心2025年信息系统等保测评项目</w:t>
      </w:r>
    </w:p>
    <w:p w14:paraId="37A8E494">
      <w:pPr>
        <w:spacing w:line="56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2.项目编号：ZTSJ-NZC-A25167</w:t>
      </w:r>
    </w:p>
    <w:p w14:paraId="45ACE81E">
      <w:pPr>
        <w:spacing w:line="56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3.采购方式：公开招标</w:t>
      </w:r>
    </w:p>
    <w:p w14:paraId="4C25D3F8">
      <w:pPr>
        <w:spacing w:line="56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4.预算金额（元）：520000.00</w:t>
      </w:r>
    </w:p>
    <w:p w14:paraId="2E1AA66E">
      <w:pPr>
        <w:spacing w:line="56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5.最高限价（如有）：520000.00元</w:t>
      </w:r>
    </w:p>
    <w:p w14:paraId="3B12708F">
      <w:pPr>
        <w:spacing w:line="560" w:lineRule="exact"/>
        <w:ind w:firstLine="520" w:firstLineChars="200"/>
        <w:rPr>
          <w:rFonts w:ascii="仿宋" w:hAnsi="仿宋" w:eastAsia="仿宋" w:cs="仿宋"/>
          <w:color w:val="auto"/>
          <w:spacing w:val="-10"/>
          <w:sz w:val="28"/>
          <w:szCs w:val="28"/>
        </w:rPr>
      </w:pPr>
      <w:r>
        <w:rPr>
          <w:rFonts w:hint="eastAsia" w:ascii="仿宋" w:hAnsi="仿宋" w:eastAsia="仿宋" w:cs="仿宋"/>
          <w:color w:val="auto"/>
          <w:spacing w:val="-10"/>
          <w:sz w:val="28"/>
          <w:szCs w:val="28"/>
          <w:lang w:eastAsia="zh-CN"/>
        </w:rPr>
        <w:t>6</w:t>
      </w:r>
      <w:r>
        <w:rPr>
          <w:rFonts w:hint="eastAsia" w:ascii="仿宋" w:hAnsi="仿宋" w:eastAsia="仿宋" w:cs="仿宋"/>
          <w:color w:val="auto"/>
          <w:spacing w:val="-10"/>
          <w:sz w:val="28"/>
          <w:szCs w:val="28"/>
        </w:rPr>
        <w:t>.采购需求：</w:t>
      </w:r>
    </w:p>
    <w:tbl>
      <w:tblPr>
        <w:tblStyle w:val="5"/>
        <w:tblW w:w="50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73"/>
        <w:gridCol w:w="1128"/>
        <w:gridCol w:w="2947"/>
        <w:gridCol w:w="1915"/>
        <w:gridCol w:w="948"/>
      </w:tblGrid>
      <w:tr w14:paraId="6674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jc w:val="center"/>
        </w:trPr>
        <w:tc>
          <w:tcPr>
            <w:tcW w:w="1602" w:type="pct"/>
            <w:noWrap/>
            <w:tcMar>
              <w:top w:w="75" w:type="dxa"/>
              <w:left w:w="150" w:type="dxa"/>
              <w:bottom w:w="75" w:type="dxa"/>
              <w:right w:w="150" w:type="dxa"/>
            </w:tcMar>
            <w:vAlign w:val="center"/>
          </w:tcPr>
          <w:p w14:paraId="5B995FB8">
            <w:pPr>
              <w:spacing w:line="420" w:lineRule="exact"/>
              <w:jc w:val="center"/>
              <w:rPr>
                <w:rFonts w:ascii="仿宋" w:hAnsi="仿宋" w:eastAsia="仿宋" w:cs="仿宋"/>
                <w:color w:val="auto"/>
                <w:sz w:val="28"/>
                <w:szCs w:val="28"/>
              </w:rPr>
            </w:pPr>
            <w:r>
              <w:rPr>
                <w:rFonts w:hint="eastAsia" w:ascii="仿宋" w:hAnsi="仿宋" w:eastAsia="仿宋" w:cs="仿宋"/>
                <w:color w:val="auto"/>
                <w:sz w:val="28"/>
                <w:szCs w:val="28"/>
                <w:lang w:bidi="ar"/>
              </w:rPr>
              <w:t>标的名称</w:t>
            </w:r>
          </w:p>
        </w:tc>
        <w:tc>
          <w:tcPr>
            <w:tcW w:w="552" w:type="pct"/>
            <w:noWrap/>
            <w:tcMar>
              <w:top w:w="75" w:type="dxa"/>
              <w:left w:w="150" w:type="dxa"/>
              <w:bottom w:w="75" w:type="dxa"/>
              <w:right w:w="150" w:type="dxa"/>
            </w:tcMar>
            <w:vAlign w:val="center"/>
          </w:tcPr>
          <w:p w14:paraId="0EA83484">
            <w:pPr>
              <w:spacing w:line="420" w:lineRule="exact"/>
              <w:jc w:val="center"/>
              <w:rPr>
                <w:rFonts w:ascii="仿宋" w:hAnsi="仿宋" w:eastAsia="仿宋" w:cs="仿宋"/>
                <w:color w:val="auto"/>
                <w:sz w:val="28"/>
                <w:szCs w:val="28"/>
              </w:rPr>
            </w:pPr>
            <w:r>
              <w:rPr>
                <w:rFonts w:hint="eastAsia" w:ascii="仿宋" w:hAnsi="仿宋" w:eastAsia="仿宋" w:cs="仿宋"/>
                <w:color w:val="auto"/>
                <w:sz w:val="28"/>
                <w:szCs w:val="28"/>
                <w:lang w:bidi="ar"/>
              </w:rPr>
              <w:t>数量</w:t>
            </w:r>
          </w:p>
        </w:tc>
        <w:tc>
          <w:tcPr>
            <w:tcW w:w="1442" w:type="pct"/>
            <w:noWrap/>
            <w:tcMar>
              <w:top w:w="75" w:type="dxa"/>
              <w:left w:w="150" w:type="dxa"/>
              <w:bottom w:w="75" w:type="dxa"/>
              <w:right w:w="150" w:type="dxa"/>
            </w:tcMar>
            <w:vAlign w:val="center"/>
          </w:tcPr>
          <w:p w14:paraId="337D482A">
            <w:pPr>
              <w:spacing w:line="420" w:lineRule="exact"/>
              <w:jc w:val="center"/>
              <w:rPr>
                <w:rFonts w:ascii="仿宋" w:hAnsi="仿宋" w:eastAsia="仿宋" w:cs="仿宋"/>
                <w:color w:val="auto"/>
                <w:sz w:val="28"/>
                <w:szCs w:val="28"/>
                <w:lang w:eastAsia="zh-CN"/>
              </w:rPr>
            </w:pPr>
            <w:r>
              <w:rPr>
                <w:rFonts w:hint="eastAsia" w:ascii="仿宋" w:hAnsi="仿宋" w:eastAsia="仿宋" w:cs="仿宋"/>
                <w:color w:val="auto"/>
                <w:sz w:val="28"/>
                <w:szCs w:val="28"/>
                <w:lang w:eastAsia="zh-CN" w:bidi="ar"/>
              </w:rPr>
              <w:t>简要规格描述或项目基本概况</w:t>
            </w:r>
          </w:p>
        </w:tc>
        <w:tc>
          <w:tcPr>
            <w:tcW w:w="937" w:type="pct"/>
            <w:noWrap/>
            <w:tcMar>
              <w:top w:w="75" w:type="dxa"/>
              <w:left w:w="150" w:type="dxa"/>
              <w:bottom w:w="75" w:type="dxa"/>
              <w:right w:w="150" w:type="dxa"/>
            </w:tcMar>
            <w:vAlign w:val="center"/>
          </w:tcPr>
          <w:p w14:paraId="523DB95B">
            <w:pPr>
              <w:spacing w:line="420" w:lineRule="exact"/>
              <w:jc w:val="center"/>
              <w:rPr>
                <w:rFonts w:ascii="仿宋" w:hAnsi="仿宋" w:eastAsia="仿宋" w:cs="仿宋"/>
                <w:color w:val="auto"/>
                <w:sz w:val="28"/>
                <w:szCs w:val="28"/>
                <w:lang w:bidi="ar"/>
              </w:rPr>
            </w:pPr>
            <w:r>
              <w:rPr>
                <w:rFonts w:hint="eastAsia" w:ascii="仿宋" w:hAnsi="仿宋" w:eastAsia="仿宋" w:cs="仿宋"/>
                <w:color w:val="auto"/>
                <w:sz w:val="28"/>
                <w:szCs w:val="28"/>
                <w:lang w:bidi="ar"/>
              </w:rPr>
              <w:t>预算金额</w:t>
            </w:r>
          </w:p>
          <w:p w14:paraId="6FC68F50">
            <w:pPr>
              <w:spacing w:line="420" w:lineRule="exact"/>
              <w:jc w:val="center"/>
              <w:rPr>
                <w:rFonts w:ascii="仿宋" w:hAnsi="仿宋" w:eastAsia="仿宋" w:cs="仿宋"/>
                <w:color w:val="auto"/>
                <w:sz w:val="28"/>
                <w:szCs w:val="28"/>
              </w:rPr>
            </w:pPr>
            <w:r>
              <w:rPr>
                <w:rFonts w:hint="eastAsia" w:ascii="仿宋" w:hAnsi="仿宋" w:eastAsia="仿宋" w:cs="仿宋"/>
                <w:color w:val="auto"/>
                <w:sz w:val="28"/>
                <w:szCs w:val="28"/>
                <w:lang w:bidi="ar"/>
              </w:rPr>
              <w:t>(元)</w:t>
            </w:r>
          </w:p>
        </w:tc>
        <w:tc>
          <w:tcPr>
            <w:tcW w:w="464" w:type="pct"/>
            <w:noWrap/>
            <w:tcMar>
              <w:top w:w="75" w:type="dxa"/>
              <w:left w:w="150" w:type="dxa"/>
              <w:bottom w:w="75" w:type="dxa"/>
              <w:right w:w="150" w:type="dxa"/>
            </w:tcMar>
            <w:vAlign w:val="center"/>
          </w:tcPr>
          <w:p w14:paraId="47C32F4F">
            <w:pPr>
              <w:spacing w:line="420" w:lineRule="exact"/>
              <w:jc w:val="center"/>
              <w:rPr>
                <w:rFonts w:ascii="仿宋" w:hAnsi="仿宋" w:eastAsia="仿宋" w:cs="仿宋"/>
                <w:color w:val="auto"/>
                <w:sz w:val="28"/>
                <w:szCs w:val="28"/>
              </w:rPr>
            </w:pPr>
            <w:r>
              <w:rPr>
                <w:rFonts w:hint="eastAsia" w:ascii="仿宋" w:hAnsi="仿宋" w:eastAsia="仿宋" w:cs="仿宋"/>
                <w:color w:val="auto"/>
                <w:sz w:val="28"/>
                <w:szCs w:val="28"/>
                <w:lang w:bidi="ar"/>
              </w:rPr>
              <w:t>备注</w:t>
            </w:r>
          </w:p>
        </w:tc>
      </w:tr>
      <w:tr w14:paraId="0267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0" w:hRule="atLeast"/>
          <w:jc w:val="center"/>
        </w:trPr>
        <w:tc>
          <w:tcPr>
            <w:tcW w:w="1602" w:type="pct"/>
            <w:tcMar>
              <w:top w:w="75" w:type="dxa"/>
              <w:left w:w="150" w:type="dxa"/>
              <w:bottom w:w="75" w:type="dxa"/>
              <w:right w:w="150" w:type="dxa"/>
            </w:tcMar>
            <w:vAlign w:val="center"/>
          </w:tcPr>
          <w:p w14:paraId="6C038AA5">
            <w:pPr>
              <w:spacing w:line="560" w:lineRule="exact"/>
              <w:jc w:val="center"/>
              <w:rPr>
                <w:rFonts w:ascii="仿宋" w:hAnsi="仿宋" w:eastAsia="仿宋" w:cs="仿宋"/>
                <w:color w:val="auto"/>
                <w:sz w:val="28"/>
                <w:szCs w:val="28"/>
                <w:lang w:eastAsia="zh-CN" w:bidi="ar"/>
              </w:rPr>
            </w:pPr>
            <w:r>
              <w:rPr>
                <w:rFonts w:hint="eastAsia" w:ascii="仿宋" w:hAnsi="仿宋" w:eastAsia="仿宋" w:cs="仿宋"/>
                <w:color w:val="auto"/>
                <w:spacing w:val="-10"/>
                <w:sz w:val="28"/>
                <w:szCs w:val="28"/>
                <w:lang w:eastAsia="zh-CN"/>
              </w:rPr>
              <w:t>银川市新闻传媒中心2025年信息系统等保测评项目</w:t>
            </w:r>
          </w:p>
        </w:tc>
        <w:tc>
          <w:tcPr>
            <w:tcW w:w="552" w:type="pct"/>
            <w:tcMar>
              <w:top w:w="75" w:type="dxa"/>
              <w:left w:w="150" w:type="dxa"/>
              <w:bottom w:w="75" w:type="dxa"/>
              <w:right w:w="150" w:type="dxa"/>
            </w:tcMar>
            <w:vAlign w:val="center"/>
          </w:tcPr>
          <w:p w14:paraId="76574327">
            <w:pPr>
              <w:jc w:val="center"/>
              <w:textAlignment w:val="center"/>
              <w:rPr>
                <w:rFonts w:ascii="仿宋" w:hAnsi="仿宋" w:eastAsia="仿宋" w:cs="仿宋"/>
                <w:color w:val="auto"/>
                <w:sz w:val="28"/>
                <w:szCs w:val="28"/>
                <w:lang w:eastAsia="zh-CN"/>
              </w:rPr>
            </w:pPr>
            <w:r>
              <w:rPr>
                <w:rFonts w:hint="eastAsia" w:ascii="仿宋" w:hAnsi="仿宋" w:eastAsia="仿宋" w:cs="仿宋"/>
                <w:sz w:val="28"/>
                <w:szCs w:val="28"/>
                <w:lang w:eastAsia="zh-CN" w:bidi="ar"/>
              </w:rPr>
              <w:t>1</w:t>
            </w:r>
          </w:p>
        </w:tc>
        <w:tc>
          <w:tcPr>
            <w:tcW w:w="1442" w:type="pct"/>
            <w:tcMar>
              <w:top w:w="75" w:type="dxa"/>
              <w:left w:w="150" w:type="dxa"/>
              <w:bottom w:w="75" w:type="dxa"/>
              <w:right w:w="150" w:type="dxa"/>
            </w:tcMar>
            <w:vAlign w:val="center"/>
          </w:tcPr>
          <w:p w14:paraId="5EA2B520">
            <w:pPr>
              <w:spacing w:before="1" w:line="360" w:lineRule="auto"/>
              <w:jc w:val="center"/>
              <w:rPr>
                <w:rFonts w:ascii="仿宋" w:hAnsi="仿宋" w:eastAsia="仿宋" w:cs="仿宋"/>
                <w:color w:val="auto"/>
                <w:sz w:val="28"/>
                <w:szCs w:val="28"/>
                <w:lang w:eastAsia="zh-CN"/>
              </w:rPr>
            </w:pPr>
            <w:r>
              <w:rPr>
                <w:rFonts w:hint="eastAsia" w:ascii="仿宋" w:hAnsi="仿宋" w:eastAsia="仿宋" w:cs="仿宋"/>
                <w:spacing w:val="-1"/>
                <w:sz w:val="28"/>
                <w:szCs w:val="28"/>
                <w:lang w:eastAsia="zh-CN"/>
              </w:rPr>
              <w:t>详见第四章项目说明和采购需求</w:t>
            </w:r>
          </w:p>
        </w:tc>
        <w:tc>
          <w:tcPr>
            <w:tcW w:w="937" w:type="pct"/>
            <w:tcMar>
              <w:top w:w="75" w:type="dxa"/>
              <w:left w:w="150" w:type="dxa"/>
              <w:bottom w:w="75" w:type="dxa"/>
              <w:right w:w="150" w:type="dxa"/>
            </w:tcMar>
            <w:vAlign w:val="center"/>
          </w:tcPr>
          <w:p w14:paraId="681B5D26">
            <w:pPr>
              <w:jc w:val="center"/>
              <w:textAlignment w:val="center"/>
              <w:rPr>
                <w:rFonts w:ascii="仿宋" w:hAnsi="仿宋" w:eastAsia="仿宋" w:cs="仿宋"/>
                <w:color w:val="auto"/>
                <w:sz w:val="28"/>
                <w:szCs w:val="28"/>
                <w:lang w:eastAsia="zh-CN"/>
              </w:rPr>
            </w:pPr>
            <w:r>
              <w:rPr>
                <w:rFonts w:hint="eastAsia" w:ascii="仿宋" w:hAnsi="仿宋" w:eastAsia="仿宋" w:cs="仿宋"/>
                <w:color w:val="auto"/>
                <w:spacing w:val="-10"/>
                <w:sz w:val="28"/>
                <w:szCs w:val="28"/>
                <w:lang w:eastAsia="zh-CN"/>
              </w:rPr>
              <w:t>520000.00</w:t>
            </w:r>
          </w:p>
        </w:tc>
        <w:tc>
          <w:tcPr>
            <w:tcW w:w="464" w:type="pct"/>
            <w:tcMar>
              <w:top w:w="75" w:type="dxa"/>
              <w:left w:w="150" w:type="dxa"/>
              <w:bottom w:w="75" w:type="dxa"/>
              <w:right w:w="150" w:type="dxa"/>
            </w:tcMar>
            <w:vAlign w:val="center"/>
          </w:tcPr>
          <w:p w14:paraId="12A19114">
            <w:pPr>
              <w:spacing w:line="420" w:lineRule="exact"/>
              <w:jc w:val="center"/>
              <w:rPr>
                <w:rFonts w:ascii="仿宋" w:hAnsi="仿宋" w:eastAsia="仿宋" w:cs="仿宋"/>
                <w:color w:val="auto"/>
                <w:sz w:val="28"/>
                <w:szCs w:val="28"/>
                <w:lang w:bidi="ar"/>
              </w:rPr>
            </w:pPr>
          </w:p>
        </w:tc>
      </w:tr>
      <w:tr w14:paraId="1A08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1602" w:type="pct"/>
            <w:tcMar>
              <w:top w:w="75" w:type="dxa"/>
              <w:left w:w="150" w:type="dxa"/>
              <w:bottom w:w="75" w:type="dxa"/>
              <w:right w:w="150" w:type="dxa"/>
            </w:tcMar>
            <w:vAlign w:val="center"/>
          </w:tcPr>
          <w:p w14:paraId="74D4C929">
            <w:pPr>
              <w:spacing w:line="420" w:lineRule="exact"/>
              <w:jc w:val="center"/>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数量</w:t>
            </w:r>
          </w:p>
        </w:tc>
        <w:tc>
          <w:tcPr>
            <w:tcW w:w="552" w:type="pct"/>
            <w:tcMar>
              <w:top w:w="75" w:type="dxa"/>
              <w:left w:w="150" w:type="dxa"/>
              <w:bottom w:w="75" w:type="dxa"/>
              <w:right w:w="150" w:type="dxa"/>
            </w:tcMar>
            <w:vAlign w:val="center"/>
          </w:tcPr>
          <w:p w14:paraId="5E3E6952">
            <w:pPr>
              <w:jc w:val="center"/>
              <w:textAlignment w:val="center"/>
              <w:rPr>
                <w:rFonts w:ascii="仿宋" w:hAnsi="仿宋" w:eastAsia="仿宋" w:cs="仿宋"/>
                <w:sz w:val="28"/>
                <w:szCs w:val="28"/>
                <w:lang w:eastAsia="zh-CN" w:bidi="ar"/>
              </w:rPr>
            </w:pPr>
            <w:r>
              <w:rPr>
                <w:rFonts w:hint="eastAsia" w:ascii="仿宋" w:hAnsi="仿宋" w:eastAsia="仿宋" w:cs="仿宋"/>
                <w:sz w:val="28"/>
                <w:szCs w:val="28"/>
                <w:lang w:eastAsia="zh-CN" w:bidi="ar"/>
              </w:rPr>
              <w:t>1</w:t>
            </w:r>
          </w:p>
        </w:tc>
        <w:tc>
          <w:tcPr>
            <w:tcW w:w="1442" w:type="pct"/>
            <w:tcMar>
              <w:top w:w="75" w:type="dxa"/>
              <w:left w:w="150" w:type="dxa"/>
              <w:bottom w:w="75" w:type="dxa"/>
              <w:right w:w="150" w:type="dxa"/>
            </w:tcMar>
            <w:vAlign w:val="center"/>
          </w:tcPr>
          <w:p w14:paraId="2868E5E1">
            <w:pPr>
              <w:jc w:val="center"/>
              <w:textAlignment w:val="center"/>
              <w:rPr>
                <w:rFonts w:ascii="仿宋" w:hAnsi="仿宋" w:eastAsia="仿宋" w:cs="仿宋"/>
                <w:sz w:val="28"/>
                <w:szCs w:val="28"/>
                <w:lang w:eastAsia="zh-CN" w:bidi="ar"/>
              </w:rPr>
            </w:pPr>
            <w:r>
              <w:rPr>
                <w:rFonts w:hint="eastAsia" w:ascii="仿宋" w:hAnsi="仿宋" w:eastAsia="仿宋" w:cs="仿宋"/>
                <w:color w:val="auto"/>
                <w:sz w:val="28"/>
                <w:szCs w:val="28"/>
                <w:lang w:bidi="ar"/>
              </w:rPr>
              <w:t>预算合计</w:t>
            </w:r>
          </w:p>
        </w:tc>
        <w:tc>
          <w:tcPr>
            <w:tcW w:w="1401" w:type="pct"/>
            <w:gridSpan w:val="2"/>
            <w:tcMar>
              <w:top w:w="75" w:type="dxa"/>
              <w:left w:w="150" w:type="dxa"/>
              <w:bottom w:w="75" w:type="dxa"/>
              <w:right w:w="150" w:type="dxa"/>
            </w:tcMar>
            <w:vAlign w:val="center"/>
          </w:tcPr>
          <w:p w14:paraId="4DD4C7FA">
            <w:pPr>
              <w:spacing w:line="420" w:lineRule="exact"/>
              <w:jc w:val="center"/>
              <w:rPr>
                <w:rFonts w:ascii="仿宋" w:hAnsi="仿宋" w:eastAsia="仿宋" w:cs="仿宋"/>
                <w:color w:val="auto"/>
                <w:sz w:val="28"/>
                <w:szCs w:val="28"/>
                <w:lang w:eastAsia="zh-CN" w:bidi="ar"/>
              </w:rPr>
            </w:pPr>
            <w:r>
              <w:rPr>
                <w:rFonts w:hint="eastAsia" w:ascii="仿宋" w:hAnsi="仿宋" w:eastAsia="仿宋" w:cs="仿宋"/>
                <w:color w:val="auto"/>
                <w:spacing w:val="-10"/>
                <w:sz w:val="28"/>
                <w:szCs w:val="28"/>
                <w:lang w:eastAsia="zh-CN"/>
              </w:rPr>
              <w:t>520000.00元</w:t>
            </w:r>
          </w:p>
        </w:tc>
      </w:tr>
    </w:tbl>
    <w:p w14:paraId="71A8C054">
      <w:pPr>
        <w:spacing w:line="560" w:lineRule="exact"/>
        <w:ind w:firstLine="560" w:firstLineChars="200"/>
        <w:rPr>
          <w:rStyle w:val="7"/>
          <w:rFonts w:ascii="仿宋" w:hAnsi="仿宋" w:eastAsia="仿宋" w:cs="仿宋"/>
          <w:b w:val="0"/>
          <w:sz w:val="28"/>
          <w:szCs w:val="28"/>
          <w:lang w:eastAsia="zh-CN"/>
        </w:rPr>
      </w:pPr>
      <w:r>
        <w:rPr>
          <w:rFonts w:hint="eastAsia" w:ascii="仿宋" w:hAnsi="仿宋" w:eastAsia="仿宋" w:cs="仿宋"/>
          <w:sz w:val="28"/>
          <w:szCs w:val="28"/>
          <w:lang w:eastAsia="zh-CN"/>
        </w:rPr>
        <w:t>7.</w:t>
      </w:r>
      <w:r>
        <w:rPr>
          <w:rStyle w:val="7"/>
          <w:rFonts w:hint="eastAsia" w:ascii="仿宋" w:hAnsi="仿宋" w:eastAsia="仿宋" w:cs="仿宋"/>
          <w:b w:val="0"/>
          <w:sz w:val="28"/>
          <w:szCs w:val="28"/>
          <w:lang w:eastAsia="zh-CN"/>
        </w:rPr>
        <w:t>合同履行期限：完成期限：自合同签订之日起，需在</w:t>
      </w:r>
      <w:r>
        <w:rPr>
          <w:rStyle w:val="7"/>
          <w:rFonts w:ascii="仿宋" w:hAnsi="仿宋" w:eastAsia="仿宋" w:cs="仿宋"/>
          <w:b w:val="0"/>
          <w:sz w:val="28"/>
          <w:szCs w:val="28"/>
          <w:lang w:eastAsia="zh-CN"/>
        </w:rPr>
        <w:t>25</w:t>
      </w:r>
      <w:r>
        <w:rPr>
          <w:rStyle w:val="7"/>
          <w:rFonts w:hint="eastAsia" w:ascii="仿宋" w:hAnsi="仿宋" w:eastAsia="仿宋" w:cs="仿宋"/>
          <w:b w:val="0"/>
          <w:sz w:val="28"/>
          <w:szCs w:val="28"/>
          <w:lang w:eastAsia="zh-CN"/>
        </w:rPr>
        <w:t>个工作日内完成系统梳理和初次测评工作，并出具漏洞扫描报告、差距测评报告等，各系统根据差距报告完成整改后，需在</w:t>
      </w:r>
      <w:r>
        <w:rPr>
          <w:rStyle w:val="7"/>
          <w:rFonts w:ascii="仿宋" w:hAnsi="仿宋" w:eastAsia="仿宋" w:cs="仿宋"/>
          <w:b w:val="0"/>
          <w:sz w:val="28"/>
          <w:szCs w:val="28"/>
          <w:lang w:eastAsia="zh-CN"/>
        </w:rPr>
        <w:t>15</w:t>
      </w:r>
      <w:r>
        <w:rPr>
          <w:rStyle w:val="7"/>
          <w:rFonts w:hint="eastAsia" w:ascii="仿宋" w:hAnsi="仿宋" w:eastAsia="仿宋" w:cs="仿宋"/>
          <w:b w:val="0"/>
          <w:sz w:val="28"/>
          <w:szCs w:val="28"/>
          <w:lang w:eastAsia="zh-CN"/>
        </w:rPr>
        <w:t>个工作日内完成复测验收工作，验收合格后出具最终测评报告。</w:t>
      </w:r>
    </w:p>
    <w:p w14:paraId="02D1654F">
      <w:pPr>
        <w:spacing w:line="560" w:lineRule="exact"/>
        <w:ind w:firstLine="560" w:firstLineChars="200"/>
        <w:rPr>
          <w:rStyle w:val="7"/>
          <w:rFonts w:ascii="仿宋" w:hAnsi="仿宋" w:eastAsia="仿宋" w:cs="仿宋"/>
          <w:b w:val="0"/>
          <w:sz w:val="28"/>
          <w:szCs w:val="28"/>
          <w:lang w:eastAsia="zh-CN"/>
        </w:rPr>
      </w:pPr>
      <w:r>
        <w:rPr>
          <w:rFonts w:ascii="仿宋" w:hAnsi="仿宋" w:eastAsia="仿宋" w:cs="仿宋"/>
          <w:sz w:val="28"/>
          <w:szCs w:val="28"/>
          <w:lang w:eastAsia="zh-CN"/>
        </w:rPr>
        <w:t>8.</w:t>
      </w:r>
      <w:r>
        <w:rPr>
          <w:rStyle w:val="7"/>
          <w:rFonts w:hint="eastAsia" w:ascii="仿宋" w:hAnsi="仿宋" w:eastAsia="仿宋" w:cs="仿宋"/>
          <w:b w:val="0"/>
          <w:sz w:val="28"/>
          <w:szCs w:val="28"/>
          <w:lang w:eastAsia="zh-CN"/>
        </w:rPr>
        <w:t>本项目（是/否）接受联合体投标:否</w:t>
      </w:r>
    </w:p>
    <w:p w14:paraId="292B7F0F">
      <w:pPr>
        <w:spacing w:line="560" w:lineRule="exact"/>
        <w:rPr>
          <w:rStyle w:val="7"/>
          <w:rFonts w:ascii="仿宋" w:hAnsi="仿宋" w:eastAsia="仿宋" w:cs="仿宋"/>
          <w:sz w:val="28"/>
          <w:szCs w:val="28"/>
          <w:lang w:eastAsia="zh-CN"/>
        </w:rPr>
      </w:pPr>
      <w:r>
        <w:rPr>
          <w:rStyle w:val="7"/>
          <w:rFonts w:hint="eastAsia" w:ascii="仿宋" w:hAnsi="仿宋" w:eastAsia="仿宋" w:cs="仿宋"/>
          <w:sz w:val="28"/>
          <w:szCs w:val="28"/>
          <w:lang w:eastAsia="zh-CN"/>
        </w:rPr>
        <w:t>二、投标人的资格要求：</w:t>
      </w:r>
    </w:p>
    <w:p w14:paraId="28FDAFB7">
      <w:pPr>
        <w:spacing w:line="560" w:lineRule="exact"/>
        <w:ind w:firstLine="562" w:firstLineChars="200"/>
        <w:rPr>
          <w:rStyle w:val="7"/>
          <w:rFonts w:ascii="仿宋" w:hAnsi="仿宋" w:eastAsia="仿宋" w:cs="仿宋"/>
          <w:sz w:val="28"/>
          <w:szCs w:val="28"/>
          <w:lang w:eastAsia="zh-CN"/>
        </w:rPr>
      </w:pPr>
      <w:r>
        <w:rPr>
          <w:rStyle w:val="7"/>
          <w:rFonts w:hint="eastAsia" w:ascii="仿宋" w:hAnsi="仿宋" w:eastAsia="仿宋" w:cs="仿宋"/>
          <w:sz w:val="28"/>
          <w:szCs w:val="28"/>
          <w:lang w:eastAsia="zh-CN"/>
        </w:rPr>
        <w:t>1.落实政府采购政策需满足的资格要求：</w:t>
      </w:r>
    </w:p>
    <w:p w14:paraId="6F67C766">
      <w:pPr>
        <w:spacing w:line="560" w:lineRule="exact"/>
        <w:ind w:firstLine="560" w:firstLineChars="200"/>
        <w:rPr>
          <w:rStyle w:val="7"/>
          <w:rFonts w:ascii="仿宋" w:hAnsi="仿宋" w:eastAsia="仿宋" w:cs="仿宋"/>
          <w:b w:val="0"/>
          <w:sz w:val="28"/>
          <w:szCs w:val="28"/>
          <w:lang w:eastAsia="zh-CN"/>
        </w:rPr>
      </w:pPr>
      <w:r>
        <w:rPr>
          <w:rStyle w:val="7"/>
          <w:rFonts w:hint="eastAsia" w:ascii="仿宋" w:hAnsi="仿宋" w:eastAsia="仿宋" w:cs="仿宋"/>
          <w:b w:val="0"/>
          <w:sz w:val="28"/>
          <w:szCs w:val="28"/>
          <w:lang w:eastAsia="zh-CN"/>
        </w:rPr>
        <w:t>（1）《政府采购促进中小企业发展管理办法》（财库〔2020〕46 号）、《关于进一步加大政府采购支持中小企业力度的通知》（财库〔2022〕19号）、《关于落实政府采购促进中小企业发展有关措施的通知》（宁财（采）发﹝2022﹞275号）； （2）《财政部 司法部关于政府采购支持监狱企业发展有关问题的通知》（财库〔2014〕68 号）；（3）《财政部 民政部 中国残疾人联合会关于促进残疾人就业政府采购政策的通知》（财库〔2017〕141 号）； （4）《国务院办公厅关于建立政府强制采购节能产品制度的通知》（国发办〔2007〕51号） 、《关于印发节能产品政策采购品目清单的通知》（财库〔2019〕19号）；《关于印发环境标注产品政府采购品目清单的通知》（财库〔2019〕18号）；《关于调整优化节能产品、环境标志产品政府采购执行机制的通知》（财库〔2019〕9号）； （5）《财政部 生态环境部 工业和信息化部关于印发〈绿色数据中心政府采购需求标准（试行）〉的通知》 财库〔2023〕7号、《宁夏回族自治区财政厅住房和城乡建设厅工业和信息化厅关于印发〈政府采购支持绿色建材促进建筑品质提升试点工作方案〉的通知》（宁财（采）发﹝2023﹞161号）；执行创新发展相关政策；《自治区财政厅 人民银行银川中心支行关于印发〈宁夏回族自治区政府采购合同信用融资管理办法〉的通知》宁财规发﹝2021﹞10号。</w:t>
      </w:r>
    </w:p>
    <w:p w14:paraId="0CA7B707">
      <w:pPr>
        <w:spacing w:line="560" w:lineRule="exact"/>
        <w:ind w:firstLine="562" w:firstLineChars="200"/>
        <w:rPr>
          <w:rStyle w:val="7"/>
          <w:rFonts w:ascii="仿宋" w:hAnsi="仿宋" w:eastAsia="仿宋" w:cs="仿宋"/>
          <w:sz w:val="28"/>
          <w:szCs w:val="28"/>
          <w:lang w:eastAsia="zh-CN"/>
        </w:rPr>
      </w:pPr>
      <w:r>
        <w:rPr>
          <w:rStyle w:val="7"/>
          <w:rFonts w:hint="eastAsia" w:ascii="仿宋" w:hAnsi="仿宋" w:eastAsia="仿宋" w:cs="仿宋"/>
          <w:sz w:val="28"/>
          <w:szCs w:val="28"/>
          <w:lang w:eastAsia="zh-CN"/>
        </w:rPr>
        <w:t>2.满足《中华人民共和国政府采购法》第二十二条规定，应提供以下材料：</w:t>
      </w:r>
    </w:p>
    <w:p w14:paraId="5941D766">
      <w:pPr>
        <w:spacing w:line="560" w:lineRule="exact"/>
        <w:ind w:firstLine="560" w:firstLineChars="200"/>
        <w:rPr>
          <w:rStyle w:val="7"/>
          <w:rFonts w:ascii="仿宋" w:hAnsi="仿宋" w:eastAsia="仿宋" w:cs="仿宋"/>
          <w:b w:val="0"/>
          <w:sz w:val="28"/>
          <w:szCs w:val="28"/>
          <w:lang w:eastAsia="zh-CN"/>
        </w:rPr>
      </w:pPr>
      <w:r>
        <w:rPr>
          <w:rStyle w:val="7"/>
          <w:rFonts w:hint="eastAsia" w:ascii="仿宋" w:hAnsi="仿宋" w:eastAsia="仿宋" w:cs="仿宋"/>
          <w:b w:val="0"/>
          <w:sz w:val="28"/>
          <w:szCs w:val="28"/>
          <w:lang w:eastAsia="zh-CN"/>
        </w:rPr>
        <w:t>（1) 提供在中华人民共和国境内注册的法人或其他组织的营业执</w:t>
      </w:r>
    </w:p>
    <w:p w14:paraId="3EE6F7FE">
      <w:pPr>
        <w:pStyle w:val="4"/>
        <w:spacing w:line="560" w:lineRule="exact"/>
        <w:ind w:right="0"/>
        <w:rPr>
          <w:lang w:eastAsia="zh-CN"/>
        </w:rPr>
      </w:pPr>
      <w:r>
        <w:rPr>
          <w:rStyle w:val="7"/>
          <w:rFonts w:hint="eastAsia" w:ascii="仿宋" w:hAnsi="仿宋" w:eastAsia="仿宋" w:cs="仿宋"/>
          <w:b w:val="0"/>
          <w:sz w:val="28"/>
          <w:szCs w:val="28"/>
          <w:lang w:eastAsia="zh-CN"/>
        </w:rPr>
        <w:t>照（或事业单位法人证书，或社会团体法人登记证书），如投标人为</w:t>
      </w:r>
    </w:p>
    <w:p w14:paraId="51F17529">
      <w:pPr>
        <w:pStyle w:val="4"/>
        <w:spacing w:line="560" w:lineRule="exact"/>
        <w:ind w:right="0"/>
        <w:rPr>
          <w:rStyle w:val="7"/>
          <w:rFonts w:ascii="仿宋" w:hAnsi="仿宋" w:eastAsia="仿宋" w:cs="仿宋"/>
          <w:b w:val="0"/>
          <w:sz w:val="28"/>
          <w:szCs w:val="28"/>
          <w:lang w:eastAsia="zh-CN"/>
        </w:rPr>
      </w:pPr>
      <w:r>
        <w:rPr>
          <w:rStyle w:val="7"/>
          <w:rFonts w:hint="eastAsia" w:ascii="仿宋" w:hAnsi="仿宋" w:eastAsia="仿宋" w:cs="仿宋"/>
          <w:b w:val="0"/>
          <w:sz w:val="28"/>
          <w:szCs w:val="28"/>
          <w:lang w:eastAsia="zh-CN"/>
        </w:rPr>
        <w:t>自然人的需提供自然人身份证明；</w:t>
      </w:r>
    </w:p>
    <w:p w14:paraId="70B69325">
      <w:pPr>
        <w:spacing w:line="560" w:lineRule="exact"/>
        <w:ind w:firstLine="560" w:firstLineChars="200"/>
        <w:rPr>
          <w:rStyle w:val="7"/>
          <w:rFonts w:ascii="仿宋" w:hAnsi="仿宋" w:eastAsia="仿宋" w:cs="仿宋"/>
          <w:b w:val="0"/>
          <w:sz w:val="28"/>
          <w:szCs w:val="28"/>
          <w:lang w:eastAsia="zh-CN"/>
        </w:rPr>
      </w:pPr>
      <w:r>
        <w:rPr>
          <w:rStyle w:val="7"/>
          <w:rFonts w:hint="eastAsia" w:ascii="仿宋" w:hAnsi="仿宋" w:eastAsia="仿宋" w:cs="仿宋"/>
          <w:b w:val="0"/>
          <w:sz w:val="28"/>
          <w:szCs w:val="28"/>
          <w:lang w:eastAsia="zh-CN"/>
        </w:rPr>
        <w:t>（2）法人授权委托书、法人及被授权人身份证复印件（法定代表人直接投标可不提供，但须提供法定代表人身份证复印件）；</w:t>
      </w:r>
    </w:p>
    <w:p w14:paraId="4E957C1C">
      <w:pPr>
        <w:widowControl w:val="0"/>
        <w:spacing w:line="560" w:lineRule="exact"/>
        <w:ind w:firstLine="560" w:firstLineChars="200"/>
        <w:rPr>
          <w:rStyle w:val="7"/>
          <w:rFonts w:ascii="仿宋" w:hAnsi="仿宋" w:eastAsia="仿宋" w:cs="仿宋"/>
          <w:b w:val="0"/>
          <w:sz w:val="28"/>
          <w:szCs w:val="28"/>
          <w:lang w:eastAsia="zh-CN"/>
        </w:rPr>
      </w:pPr>
      <w:r>
        <w:rPr>
          <w:rStyle w:val="7"/>
          <w:rFonts w:hint="eastAsia" w:ascii="仿宋" w:hAnsi="仿宋" w:eastAsia="仿宋" w:cs="仿宋"/>
          <w:b w:val="0"/>
          <w:sz w:val="28"/>
          <w:szCs w:val="28"/>
          <w:lang w:eastAsia="zh-CN"/>
        </w:rPr>
        <w:t>（3）提供具有良好商业信誉和健全的财务会计制度的承诺函；</w:t>
      </w:r>
    </w:p>
    <w:p w14:paraId="4CA88A12">
      <w:pPr>
        <w:widowControl w:val="0"/>
        <w:spacing w:line="540" w:lineRule="exact"/>
        <w:ind w:firstLine="560" w:firstLineChars="200"/>
        <w:rPr>
          <w:rStyle w:val="7"/>
          <w:rFonts w:ascii="仿宋" w:hAnsi="仿宋" w:eastAsia="仿宋" w:cs="仿宋"/>
          <w:b w:val="0"/>
          <w:sz w:val="28"/>
          <w:szCs w:val="28"/>
          <w:lang w:eastAsia="zh-CN"/>
        </w:rPr>
      </w:pPr>
      <w:r>
        <w:rPr>
          <w:rStyle w:val="7"/>
          <w:rFonts w:hint="eastAsia" w:ascii="仿宋" w:hAnsi="仿宋" w:eastAsia="仿宋" w:cs="仿宋"/>
          <w:b w:val="0"/>
          <w:sz w:val="28"/>
          <w:szCs w:val="28"/>
          <w:lang w:eastAsia="zh-CN"/>
        </w:rPr>
        <w:t>（4）提供履行合同所必需的设备和专业技术能力的证明材料（承诺函）；</w:t>
      </w:r>
    </w:p>
    <w:p w14:paraId="415D3B00">
      <w:pPr>
        <w:widowControl w:val="0"/>
        <w:spacing w:line="540" w:lineRule="exact"/>
        <w:ind w:firstLine="560" w:firstLineChars="200"/>
        <w:rPr>
          <w:rStyle w:val="7"/>
          <w:rFonts w:ascii="仿宋" w:hAnsi="仿宋" w:eastAsia="仿宋" w:cs="仿宋"/>
          <w:b w:val="0"/>
          <w:sz w:val="28"/>
          <w:szCs w:val="28"/>
          <w:lang w:eastAsia="zh-CN"/>
        </w:rPr>
      </w:pPr>
      <w:r>
        <w:rPr>
          <w:rStyle w:val="7"/>
          <w:rFonts w:hint="eastAsia" w:ascii="仿宋" w:hAnsi="仿宋" w:eastAsia="仿宋" w:cs="仿宋"/>
          <w:b w:val="0"/>
          <w:sz w:val="28"/>
          <w:szCs w:val="28"/>
          <w:lang w:eastAsia="zh-CN"/>
        </w:rPr>
        <w:t>（5）具有依法缴纳税收和社会保障资金的良好记录的承诺函；</w:t>
      </w:r>
    </w:p>
    <w:p w14:paraId="1A118362">
      <w:pPr>
        <w:widowControl w:val="0"/>
        <w:spacing w:line="540" w:lineRule="exact"/>
        <w:ind w:firstLine="560" w:firstLineChars="200"/>
        <w:rPr>
          <w:rStyle w:val="7"/>
          <w:rFonts w:ascii="仿宋" w:hAnsi="仿宋" w:eastAsia="仿宋" w:cs="仿宋"/>
          <w:b w:val="0"/>
          <w:sz w:val="28"/>
          <w:szCs w:val="28"/>
          <w:lang w:eastAsia="zh-CN"/>
        </w:rPr>
      </w:pPr>
      <w:r>
        <w:rPr>
          <w:rStyle w:val="7"/>
          <w:rFonts w:hint="eastAsia" w:ascii="仿宋" w:hAnsi="仿宋" w:eastAsia="仿宋" w:cs="仿宋"/>
          <w:b w:val="0"/>
          <w:sz w:val="28"/>
          <w:szCs w:val="28"/>
          <w:lang w:eastAsia="zh-CN"/>
        </w:rPr>
        <w:t>（6）提供参加采购活动前三年内在经营活动中没有重大违法记录的书面声明（承诺函）；</w:t>
      </w:r>
    </w:p>
    <w:p w14:paraId="54CE65A4">
      <w:pPr>
        <w:spacing w:line="540" w:lineRule="exact"/>
        <w:ind w:firstLine="560" w:firstLineChars="200"/>
        <w:rPr>
          <w:rStyle w:val="7"/>
          <w:rFonts w:ascii="仿宋" w:hAnsi="仿宋" w:eastAsia="仿宋" w:cs="仿宋"/>
          <w:b w:val="0"/>
          <w:color w:val="auto"/>
          <w:sz w:val="28"/>
          <w:szCs w:val="28"/>
          <w:lang w:eastAsia="zh-CN"/>
        </w:rPr>
      </w:pPr>
      <w:r>
        <w:rPr>
          <w:rStyle w:val="7"/>
          <w:rFonts w:hint="eastAsia" w:ascii="仿宋" w:hAnsi="仿宋" w:eastAsia="仿宋" w:cs="仿宋"/>
          <w:b w:val="0"/>
          <w:sz w:val="28"/>
          <w:szCs w:val="28"/>
          <w:lang w:eastAsia="zh-CN"/>
        </w:rPr>
        <w:t>（7）投标人在中国政府采购网（www.ccgp.gov.cn）未被列入政府采购严重违法失信行为记录名单，在“信用中国”网站（www.creditchina.gov.cn）未被列入失信被</w:t>
      </w:r>
      <w:r>
        <w:rPr>
          <w:rStyle w:val="7"/>
          <w:rFonts w:hint="eastAsia" w:ascii="仿宋" w:hAnsi="仿宋" w:eastAsia="仿宋" w:cs="仿宋"/>
          <w:b w:val="0"/>
          <w:color w:val="auto"/>
          <w:sz w:val="28"/>
          <w:szCs w:val="28"/>
          <w:lang w:eastAsia="zh-CN"/>
        </w:rPr>
        <w:t>执行人、重大税收违法案件当事人名单（开标现场查询）。</w:t>
      </w:r>
    </w:p>
    <w:p w14:paraId="7D929DFD">
      <w:pPr>
        <w:spacing w:line="540" w:lineRule="exact"/>
        <w:ind w:firstLine="560" w:firstLineChars="200"/>
        <w:rPr>
          <w:rFonts w:ascii="仿宋" w:hAnsi="仿宋" w:eastAsia="仿宋" w:cs="仿宋"/>
          <w:spacing w:val="-7"/>
          <w:sz w:val="28"/>
          <w:szCs w:val="28"/>
          <w:lang w:eastAsia="zh-CN"/>
        </w:rPr>
      </w:pPr>
      <w:r>
        <w:rPr>
          <w:rStyle w:val="7"/>
          <w:rFonts w:hint="eastAsia" w:ascii="仿宋" w:hAnsi="仿宋" w:eastAsia="仿宋" w:cs="仿宋"/>
          <w:b w:val="0"/>
          <w:color w:val="auto"/>
          <w:sz w:val="28"/>
          <w:szCs w:val="28"/>
          <w:lang w:eastAsia="zh-CN"/>
        </w:rPr>
        <w:t>3.本项目（是/否）专门面向中小微企业：</w:t>
      </w:r>
      <w:r>
        <w:rPr>
          <w:rFonts w:hint="eastAsia" w:ascii="仿宋" w:hAnsi="仿宋" w:eastAsia="仿宋" w:cs="仿宋"/>
          <w:spacing w:val="-7"/>
          <w:sz w:val="28"/>
          <w:szCs w:val="28"/>
          <w:lang w:eastAsia="zh-CN"/>
        </w:rPr>
        <w:t>是</w:t>
      </w:r>
    </w:p>
    <w:p w14:paraId="62FA009C">
      <w:pPr>
        <w:spacing w:line="540" w:lineRule="exact"/>
        <w:ind w:firstLine="532" w:firstLineChars="200"/>
        <w:rPr>
          <w:rStyle w:val="7"/>
          <w:rFonts w:ascii="仿宋" w:hAnsi="仿宋" w:eastAsia="仿宋" w:cs="仿宋"/>
          <w:b w:val="0"/>
          <w:sz w:val="28"/>
          <w:szCs w:val="28"/>
          <w:lang w:eastAsia="zh-CN"/>
        </w:rPr>
      </w:pPr>
      <w:r>
        <w:rPr>
          <w:rFonts w:hint="eastAsia" w:ascii="仿宋" w:hAnsi="仿宋" w:eastAsia="仿宋" w:cs="仿宋"/>
          <w:spacing w:val="-7"/>
          <w:sz w:val="28"/>
          <w:szCs w:val="28"/>
          <w:lang w:eastAsia="zh-CN"/>
        </w:rPr>
        <w:t>4.合格投标人的其他资格要求：</w:t>
      </w:r>
      <w:bookmarkStart w:id="0" w:name="OLE_LINK1"/>
      <w:r>
        <w:rPr>
          <w:rFonts w:hint="eastAsia" w:ascii="仿宋" w:hAnsi="仿宋" w:eastAsia="仿宋" w:cs="仿宋"/>
          <w:spacing w:val="-7"/>
          <w:sz w:val="28"/>
          <w:szCs w:val="28"/>
          <w:lang w:eastAsia="zh-CN"/>
        </w:rPr>
        <w:t>（</w:t>
      </w:r>
      <w:r>
        <w:rPr>
          <w:rFonts w:ascii="仿宋" w:hAnsi="仿宋" w:eastAsia="仿宋" w:cs="仿宋"/>
          <w:spacing w:val="-7"/>
          <w:sz w:val="28"/>
          <w:szCs w:val="28"/>
          <w:lang w:eastAsia="zh-CN"/>
        </w:rPr>
        <w:t>1</w:t>
      </w:r>
      <w:r>
        <w:rPr>
          <w:rFonts w:hint="eastAsia" w:ascii="仿宋" w:hAnsi="仿宋" w:eastAsia="仿宋" w:cs="仿宋"/>
          <w:spacing w:val="-7"/>
          <w:sz w:val="28"/>
          <w:szCs w:val="28"/>
          <w:lang w:eastAsia="zh-CN"/>
        </w:rPr>
        <w:t>）本项目专门面向中小企业采购，拒绝大型企业参与，供应商须出具《中小企业声明函》，格式详见招标文件。（2）投标人须具有《网络安全等级测评与检测评估机构服务认证证书》，并在中国网络安全等级保护网最新发布的《网络安全等级保护测评机构服务认证获证机构名录》中，并提供证明材料。</w:t>
      </w:r>
      <w:bookmarkEnd w:id="0"/>
    </w:p>
    <w:p w14:paraId="5DAEFE0D">
      <w:pPr>
        <w:spacing w:line="540" w:lineRule="exact"/>
        <w:rPr>
          <w:rFonts w:ascii="仿宋" w:hAnsi="仿宋" w:eastAsia="仿宋" w:cs="仿宋"/>
          <w:b/>
          <w:bCs/>
          <w:color w:val="auto"/>
          <w:spacing w:val="-10"/>
          <w:sz w:val="28"/>
          <w:szCs w:val="28"/>
          <w:lang w:eastAsia="zh-CN"/>
        </w:rPr>
      </w:pPr>
      <w:r>
        <w:rPr>
          <w:rFonts w:hint="eastAsia" w:ascii="仿宋" w:hAnsi="仿宋" w:eastAsia="仿宋" w:cs="仿宋"/>
          <w:b/>
          <w:bCs/>
          <w:color w:val="auto"/>
          <w:spacing w:val="-10"/>
          <w:sz w:val="28"/>
          <w:szCs w:val="28"/>
          <w:lang w:eastAsia="zh-CN"/>
        </w:rPr>
        <w:t>三、获取招标文件</w:t>
      </w:r>
    </w:p>
    <w:p w14:paraId="5950463A">
      <w:pPr>
        <w:spacing w:line="54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时间：2025年</w:t>
      </w:r>
      <w:r>
        <w:rPr>
          <w:rFonts w:hint="eastAsia" w:ascii="仿宋" w:hAnsi="仿宋" w:eastAsia="仿宋" w:cs="仿宋"/>
          <w:color w:val="auto"/>
          <w:spacing w:val="-10"/>
          <w:sz w:val="28"/>
          <w:szCs w:val="28"/>
          <w:lang w:val="en-US" w:eastAsia="zh-CN"/>
        </w:rPr>
        <w:t>6</w:t>
      </w:r>
      <w:r>
        <w:rPr>
          <w:rFonts w:hint="eastAsia" w:ascii="仿宋" w:hAnsi="仿宋" w:eastAsia="仿宋" w:cs="仿宋"/>
          <w:color w:val="auto"/>
          <w:spacing w:val="-10"/>
          <w:sz w:val="28"/>
          <w:szCs w:val="28"/>
          <w:lang w:eastAsia="zh-CN"/>
        </w:rPr>
        <w:t>月</w:t>
      </w:r>
      <w:r>
        <w:rPr>
          <w:rFonts w:hint="eastAsia" w:ascii="仿宋" w:hAnsi="仿宋" w:eastAsia="仿宋" w:cs="仿宋"/>
          <w:color w:val="auto"/>
          <w:spacing w:val="-10"/>
          <w:sz w:val="28"/>
          <w:szCs w:val="28"/>
          <w:lang w:val="en-US" w:eastAsia="zh-CN"/>
        </w:rPr>
        <w:t>17</w:t>
      </w:r>
      <w:r>
        <w:rPr>
          <w:rFonts w:hint="eastAsia" w:ascii="仿宋" w:hAnsi="仿宋" w:eastAsia="仿宋" w:cs="仿宋"/>
          <w:color w:val="auto"/>
          <w:spacing w:val="-10"/>
          <w:sz w:val="28"/>
          <w:szCs w:val="28"/>
          <w:lang w:eastAsia="zh-CN"/>
        </w:rPr>
        <w:t>日至2025年</w:t>
      </w:r>
      <w:r>
        <w:rPr>
          <w:rFonts w:hint="eastAsia" w:ascii="仿宋" w:hAnsi="仿宋" w:eastAsia="仿宋" w:cs="仿宋"/>
          <w:color w:val="auto"/>
          <w:spacing w:val="-10"/>
          <w:sz w:val="28"/>
          <w:szCs w:val="28"/>
          <w:lang w:val="en-US" w:eastAsia="zh-CN"/>
        </w:rPr>
        <w:t>6</w:t>
      </w:r>
      <w:r>
        <w:rPr>
          <w:rFonts w:hint="eastAsia" w:ascii="仿宋" w:hAnsi="仿宋" w:eastAsia="仿宋" w:cs="仿宋"/>
          <w:color w:val="auto"/>
          <w:spacing w:val="-10"/>
          <w:sz w:val="28"/>
          <w:szCs w:val="28"/>
          <w:lang w:eastAsia="zh-CN"/>
        </w:rPr>
        <w:t>月</w:t>
      </w:r>
      <w:r>
        <w:rPr>
          <w:rFonts w:hint="eastAsia" w:ascii="仿宋" w:hAnsi="仿宋" w:eastAsia="仿宋" w:cs="仿宋"/>
          <w:color w:val="auto"/>
          <w:spacing w:val="-10"/>
          <w:sz w:val="28"/>
          <w:szCs w:val="28"/>
          <w:lang w:val="en-US" w:eastAsia="zh-CN"/>
        </w:rPr>
        <w:t>24</w:t>
      </w:r>
      <w:r>
        <w:rPr>
          <w:rFonts w:hint="eastAsia" w:ascii="仿宋" w:hAnsi="仿宋" w:eastAsia="仿宋" w:cs="仿宋"/>
          <w:color w:val="auto"/>
          <w:spacing w:val="-10"/>
          <w:sz w:val="28"/>
          <w:szCs w:val="28"/>
          <w:lang w:eastAsia="zh-CN"/>
        </w:rPr>
        <w:t>日（提供期限自本公告发布之日起不得少于5个工作日），每天上午08：30至12:00，下午14:00至18:00（北京时间，法定节假日除外）</w:t>
      </w:r>
    </w:p>
    <w:p w14:paraId="087AB0B7">
      <w:pPr>
        <w:spacing w:line="54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地点：邮箱获取</w:t>
      </w:r>
    </w:p>
    <w:p w14:paraId="13EFFFF5">
      <w:pPr>
        <w:spacing w:line="54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方式：有意参与的投标人须在上述时间内将“投标人资格”中相关材料扫描件（加盖公章）发送至我公司的邮箱（ztsjzb2@126.com）进行登记，并注明项目名称以及联络方式等有效信息。所提供的资料和数据必须真实有效。</w:t>
      </w:r>
    </w:p>
    <w:p w14:paraId="7C054FB9">
      <w:pPr>
        <w:widowControl w:val="0"/>
        <w:spacing w:line="54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售价：0 元</w:t>
      </w:r>
    </w:p>
    <w:p w14:paraId="358603C0">
      <w:pPr>
        <w:widowControl w:val="0"/>
        <w:spacing w:line="540" w:lineRule="exact"/>
        <w:rPr>
          <w:rFonts w:ascii="仿宋" w:hAnsi="仿宋" w:eastAsia="仿宋" w:cs="仿宋"/>
          <w:b/>
          <w:bCs/>
          <w:color w:val="auto"/>
          <w:spacing w:val="-10"/>
          <w:sz w:val="28"/>
          <w:szCs w:val="28"/>
          <w:lang w:eastAsia="zh-CN"/>
        </w:rPr>
      </w:pPr>
      <w:r>
        <w:rPr>
          <w:rFonts w:hint="eastAsia" w:ascii="仿宋" w:hAnsi="仿宋" w:eastAsia="仿宋" w:cs="仿宋"/>
          <w:b/>
          <w:bCs/>
          <w:color w:val="auto"/>
          <w:spacing w:val="-10"/>
          <w:sz w:val="28"/>
          <w:szCs w:val="28"/>
          <w:lang w:eastAsia="zh-CN"/>
        </w:rPr>
        <w:t>四、提交投标文件截止时间、开标时间和地点</w:t>
      </w:r>
    </w:p>
    <w:p w14:paraId="055A7937">
      <w:pPr>
        <w:widowControl w:val="0"/>
        <w:spacing w:line="540" w:lineRule="exact"/>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ab/>
      </w:r>
      <w:r>
        <w:rPr>
          <w:rFonts w:hint="eastAsia" w:ascii="仿宋" w:hAnsi="仿宋" w:eastAsia="仿宋" w:cs="仿宋"/>
          <w:color w:val="auto"/>
          <w:spacing w:val="-10"/>
          <w:sz w:val="28"/>
          <w:szCs w:val="28"/>
          <w:lang w:eastAsia="zh-CN"/>
        </w:rPr>
        <w:t>时间：2025年</w:t>
      </w:r>
      <w:r>
        <w:rPr>
          <w:rFonts w:hint="eastAsia" w:ascii="仿宋" w:hAnsi="仿宋" w:eastAsia="仿宋" w:cs="仿宋"/>
          <w:color w:val="auto"/>
          <w:spacing w:val="-10"/>
          <w:sz w:val="28"/>
          <w:szCs w:val="28"/>
          <w:lang w:val="en-US" w:eastAsia="zh-CN"/>
        </w:rPr>
        <w:t>7</w:t>
      </w:r>
      <w:r>
        <w:rPr>
          <w:rFonts w:hint="eastAsia" w:ascii="仿宋" w:hAnsi="仿宋" w:eastAsia="仿宋" w:cs="仿宋"/>
          <w:color w:val="auto"/>
          <w:spacing w:val="-10"/>
          <w:sz w:val="28"/>
          <w:szCs w:val="28"/>
          <w:lang w:eastAsia="zh-CN"/>
        </w:rPr>
        <w:t>月</w:t>
      </w:r>
      <w:r>
        <w:rPr>
          <w:rFonts w:hint="eastAsia" w:ascii="仿宋" w:hAnsi="仿宋" w:eastAsia="仿宋" w:cs="仿宋"/>
          <w:color w:val="auto"/>
          <w:spacing w:val="-10"/>
          <w:sz w:val="28"/>
          <w:szCs w:val="28"/>
          <w:lang w:val="en-US" w:eastAsia="zh-CN"/>
        </w:rPr>
        <w:t>8</w:t>
      </w:r>
      <w:r>
        <w:rPr>
          <w:rFonts w:hint="eastAsia" w:ascii="仿宋" w:hAnsi="仿宋" w:eastAsia="仿宋" w:cs="仿宋"/>
          <w:color w:val="auto"/>
          <w:spacing w:val="-10"/>
          <w:sz w:val="28"/>
          <w:szCs w:val="28"/>
          <w:lang w:eastAsia="zh-CN"/>
        </w:rPr>
        <w:t>日9时00分（北京时间）（自招标文件开始发出之日起至投标人提交投标文件截止之日止，不得少于20日）</w:t>
      </w:r>
    </w:p>
    <w:p w14:paraId="222F9274">
      <w:pPr>
        <w:widowControl w:val="0"/>
        <w:spacing w:line="54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地点：中世e招电子交易平台（银川市金凤区新昌路110号金钻名座财富中心20层）</w:t>
      </w:r>
    </w:p>
    <w:p w14:paraId="432DBD7C">
      <w:pPr>
        <w:tabs>
          <w:tab w:val="left" w:pos="7502"/>
        </w:tabs>
        <w:spacing w:line="540" w:lineRule="exact"/>
        <w:rPr>
          <w:rFonts w:ascii="仿宋" w:hAnsi="仿宋" w:eastAsia="仿宋" w:cs="仿宋"/>
          <w:color w:val="auto"/>
          <w:spacing w:val="-10"/>
          <w:sz w:val="28"/>
          <w:szCs w:val="28"/>
          <w:lang w:eastAsia="zh-CN"/>
        </w:rPr>
      </w:pPr>
      <w:r>
        <w:rPr>
          <w:rFonts w:hint="eastAsia" w:ascii="仿宋" w:hAnsi="仿宋" w:eastAsia="仿宋" w:cs="仿宋"/>
          <w:b/>
          <w:bCs/>
          <w:color w:val="auto"/>
          <w:spacing w:val="-10"/>
          <w:sz w:val="28"/>
          <w:szCs w:val="28"/>
          <w:lang w:eastAsia="zh-CN"/>
        </w:rPr>
        <w:t>五、公告期限</w:t>
      </w:r>
      <w:r>
        <w:rPr>
          <w:rFonts w:hint="eastAsia" w:ascii="仿宋" w:hAnsi="仿宋" w:eastAsia="仿宋" w:cs="仿宋"/>
          <w:color w:val="auto"/>
          <w:spacing w:val="-10"/>
          <w:sz w:val="28"/>
          <w:szCs w:val="28"/>
          <w:lang w:eastAsia="zh-CN"/>
        </w:rPr>
        <w:tab/>
      </w:r>
    </w:p>
    <w:p w14:paraId="3ACDA568">
      <w:pPr>
        <w:spacing w:line="54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自本公告发布之日起5个工作日</w:t>
      </w:r>
    </w:p>
    <w:p w14:paraId="2688C9E5">
      <w:pPr>
        <w:spacing w:line="540" w:lineRule="exact"/>
        <w:rPr>
          <w:rFonts w:ascii="仿宋" w:hAnsi="仿宋" w:eastAsia="仿宋" w:cs="仿宋"/>
          <w:b/>
          <w:bCs/>
          <w:color w:val="auto"/>
          <w:spacing w:val="-10"/>
          <w:sz w:val="28"/>
          <w:szCs w:val="28"/>
          <w:lang w:eastAsia="zh-CN"/>
        </w:rPr>
      </w:pPr>
      <w:r>
        <w:rPr>
          <w:rFonts w:hint="eastAsia" w:ascii="仿宋" w:hAnsi="仿宋" w:eastAsia="仿宋" w:cs="仿宋"/>
          <w:b/>
          <w:bCs/>
          <w:color w:val="auto"/>
          <w:spacing w:val="-10"/>
          <w:sz w:val="28"/>
          <w:szCs w:val="28"/>
          <w:lang w:eastAsia="zh-CN"/>
        </w:rPr>
        <w:t>六、其他补充事宜</w:t>
      </w:r>
    </w:p>
    <w:p w14:paraId="5637A9D3">
      <w:pPr>
        <w:pStyle w:val="2"/>
        <w:spacing w:line="540" w:lineRule="exact"/>
        <w:rPr>
          <w:rFonts w:ascii="仿宋" w:hAnsi="仿宋" w:eastAsia="仿宋" w:cs="仿宋"/>
          <w:spacing w:val="-4"/>
          <w:sz w:val="28"/>
          <w:szCs w:val="28"/>
          <w:lang w:eastAsia="zh-CN"/>
        </w:rPr>
      </w:pPr>
      <w:r>
        <w:rPr>
          <w:rFonts w:hint="eastAsia" w:ascii="仿宋" w:hAnsi="仿宋" w:eastAsia="仿宋" w:cs="仿宋"/>
          <w:spacing w:val="-4"/>
          <w:sz w:val="28"/>
          <w:szCs w:val="28"/>
          <w:lang w:eastAsia="zh-CN"/>
        </w:rPr>
        <w:t>1.各投标供应商应在开标前随时关注招标投标公共服务平台、</w:t>
      </w:r>
      <w:r>
        <w:rPr>
          <w:rFonts w:hint="eastAsia" w:ascii="仿宋" w:hAnsi="仿宋" w:eastAsia="仿宋" w:cs="仿宋"/>
          <w:color w:val="auto"/>
          <w:spacing w:val="-10"/>
          <w:sz w:val="28"/>
          <w:szCs w:val="28"/>
          <w:lang w:eastAsia="zh-CN"/>
        </w:rPr>
        <w:t>中世e招电子交易平台</w:t>
      </w:r>
      <w:r>
        <w:rPr>
          <w:rFonts w:hint="eastAsia" w:ascii="仿宋" w:hAnsi="仿宋" w:eastAsia="仿宋" w:cs="仿宋"/>
          <w:spacing w:val="-4"/>
          <w:sz w:val="28"/>
          <w:szCs w:val="28"/>
          <w:lang w:eastAsia="zh-CN"/>
        </w:rPr>
        <w:t>，您所关注的项目如调整内容只在招标投标公共服务平台、</w:t>
      </w:r>
      <w:r>
        <w:rPr>
          <w:rFonts w:hint="eastAsia" w:ascii="仿宋" w:hAnsi="仿宋" w:eastAsia="仿宋" w:cs="仿宋"/>
          <w:color w:val="auto"/>
          <w:spacing w:val="-10"/>
          <w:sz w:val="28"/>
          <w:szCs w:val="28"/>
          <w:lang w:eastAsia="zh-CN"/>
        </w:rPr>
        <w:t>中世e招电子交易平台</w:t>
      </w:r>
      <w:r>
        <w:rPr>
          <w:rFonts w:hint="eastAsia" w:ascii="仿宋" w:hAnsi="仿宋" w:eastAsia="仿宋" w:cs="仿宋"/>
          <w:spacing w:val="-4"/>
          <w:sz w:val="28"/>
          <w:szCs w:val="28"/>
          <w:lang w:eastAsia="zh-CN"/>
        </w:rPr>
        <w:t>以公告形式公示。招标代理机构不再以其他方式通知。如因自身原因未及时关注招标公告或变更(澄清、补充等)公告从而导致投标失败，其后果自行承担。</w:t>
      </w:r>
    </w:p>
    <w:p w14:paraId="544FFD56">
      <w:pPr>
        <w:pStyle w:val="2"/>
        <w:spacing w:line="540" w:lineRule="exact"/>
        <w:rPr>
          <w:rFonts w:ascii="仿宋" w:hAnsi="仿宋" w:eastAsia="仿宋" w:cs="仿宋"/>
          <w:spacing w:val="-4"/>
          <w:sz w:val="28"/>
          <w:szCs w:val="28"/>
          <w:lang w:eastAsia="zh-CN"/>
        </w:rPr>
      </w:pPr>
      <w:r>
        <w:rPr>
          <w:rFonts w:hint="eastAsia" w:ascii="仿宋" w:hAnsi="仿宋" w:eastAsia="仿宋" w:cs="仿宋"/>
          <w:spacing w:val="-4"/>
          <w:sz w:val="28"/>
          <w:szCs w:val="28"/>
          <w:lang w:eastAsia="zh-CN"/>
        </w:rPr>
        <w:t>2.本项目发布媒介：招标投标公共服务平台、</w:t>
      </w:r>
      <w:r>
        <w:rPr>
          <w:rFonts w:hint="eastAsia" w:ascii="仿宋" w:hAnsi="仿宋" w:eastAsia="仿宋" w:cs="仿宋"/>
          <w:color w:val="auto"/>
          <w:spacing w:val="-10"/>
          <w:sz w:val="28"/>
          <w:szCs w:val="28"/>
          <w:lang w:eastAsia="zh-CN"/>
        </w:rPr>
        <w:t>中世e招电子交易平台</w:t>
      </w:r>
    </w:p>
    <w:p w14:paraId="3A86C856">
      <w:pPr>
        <w:pStyle w:val="2"/>
        <w:spacing w:line="540" w:lineRule="exact"/>
        <w:rPr>
          <w:rFonts w:ascii="仿宋" w:hAnsi="仿宋" w:eastAsia="仿宋" w:cs="仿宋"/>
          <w:spacing w:val="-4"/>
          <w:sz w:val="28"/>
          <w:szCs w:val="28"/>
          <w:lang w:eastAsia="zh-CN"/>
        </w:rPr>
      </w:pPr>
      <w:r>
        <w:rPr>
          <w:rFonts w:hint="eastAsia" w:ascii="仿宋" w:hAnsi="仿宋" w:eastAsia="仿宋" w:cs="仿宋"/>
          <w:spacing w:val="-4"/>
          <w:sz w:val="28"/>
          <w:szCs w:val="28"/>
          <w:lang w:eastAsia="zh-CN"/>
        </w:rPr>
        <w:t>3.招标代理费为7800元，由中标单位支付。</w:t>
      </w:r>
    </w:p>
    <w:p w14:paraId="30ED8BD2">
      <w:pPr>
        <w:spacing w:line="540" w:lineRule="exact"/>
        <w:rPr>
          <w:rFonts w:ascii="仿宋" w:hAnsi="仿宋" w:eastAsia="仿宋" w:cs="仿宋"/>
          <w:b/>
          <w:bCs/>
          <w:color w:val="auto"/>
          <w:spacing w:val="-10"/>
          <w:sz w:val="28"/>
          <w:szCs w:val="28"/>
          <w:lang w:eastAsia="zh-CN"/>
        </w:rPr>
      </w:pPr>
      <w:r>
        <w:rPr>
          <w:rFonts w:hint="eastAsia" w:ascii="仿宋" w:hAnsi="仿宋" w:eastAsia="仿宋" w:cs="仿宋"/>
          <w:b/>
          <w:bCs/>
          <w:color w:val="auto"/>
          <w:spacing w:val="-10"/>
          <w:sz w:val="28"/>
          <w:szCs w:val="28"/>
          <w:lang w:eastAsia="zh-CN"/>
        </w:rPr>
        <w:t>七、对本次招标提出询问，请按以下方式联系</w:t>
      </w:r>
    </w:p>
    <w:p w14:paraId="70643776">
      <w:pPr>
        <w:spacing w:line="54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1.采购人信息</w:t>
      </w:r>
    </w:p>
    <w:p w14:paraId="1C2E853F">
      <w:pPr>
        <w:spacing w:line="54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 xml:space="preserve">名  称：银川市新闻传媒中心                 </w:t>
      </w:r>
    </w:p>
    <w:p w14:paraId="0BCC6C28">
      <w:pPr>
        <w:spacing w:line="54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 xml:space="preserve">联系人：王欣                </w:t>
      </w:r>
    </w:p>
    <w:p w14:paraId="4BC4B8EB">
      <w:pPr>
        <w:spacing w:line="54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 xml:space="preserve">地  址：银川市兴庆区解放东路143号                  </w:t>
      </w:r>
    </w:p>
    <w:p w14:paraId="05F0EBC3">
      <w:pPr>
        <w:spacing w:line="54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 xml:space="preserve">联系方式：0951-5167369 </w:t>
      </w:r>
    </w:p>
    <w:p w14:paraId="5DE3BF78">
      <w:pPr>
        <w:spacing w:line="54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2.采购代理机构信息</w:t>
      </w:r>
    </w:p>
    <w:p w14:paraId="300460B8">
      <w:pPr>
        <w:spacing w:line="54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名  称：</w:t>
      </w:r>
      <w:r>
        <w:rPr>
          <w:rStyle w:val="7"/>
          <w:rFonts w:hint="eastAsia" w:ascii="仿宋" w:hAnsi="仿宋" w:eastAsia="仿宋" w:cs="仿宋"/>
          <w:b w:val="0"/>
          <w:color w:val="auto"/>
          <w:sz w:val="28"/>
          <w:szCs w:val="28"/>
          <w:lang w:eastAsia="zh-CN"/>
        </w:rPr>
        <w:t>中天世纪国际招标有限公司</w:t>
      </w:r>
      <w:r>
        <w:rPr>
          <w:rFonts w:hint="eastAsia" w:ascii="仿宋" w:hAnsi="仿宋" w:eastAsia="仿宋" w:cs="仿宋"/>
          <w:color w:val="auto"/>
          <w:spacing w:val="-10"/>
          <w:sz w:val="28"/>
          <w:szCs w:val="28"/>
          <w:lang w:eastAsia="zh-CN"/>
        </w:rPr>
        <w:t xml:space="preserve">                  </w:t>
      </w:r>
    </w:p>
    <w:p w14:paraId="1892913B">
      <w:pPr>
        <w:spacing w:line="54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 xml:space="preserve">项目负责人：庞文娟、王铎                 </w:t>
      </w:r>
    </w:p>
    <w:p w14:paraId="3B6E8057">
      <w:pPr>
        <w:spacing w:line="54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地  址：</w:t>
      </w:r>
      <w:r>
        <w:rPr>
          <w:rStyle w:val="7"/>
          <w:rFonts w:hint="eastAsia" w:ascii="仿宋" w:hAnsi="仿宋" w:eastAsia="仿宋" w:cs="仿宋"/>
          <w:b w:val="0"/>
          <w:color w:val="auto"/>
          <w:sz w:val="28"/>
          <w:szCs w:val="28"/>
          <w:shd w:val="clear" w:color="auto" w:fill="FFFFFF"/>
          <w:lang w:eastAsia="zh-CN"/>
        </w:rPr>
        <w:t>银川市金凤区新昌西路金钻名座财富中心13层</w:t>
      </w:r>
      <w:r>
        <w:rPr>
          <w:rFonts w:hint="eastAsia" w:ascii="仿宋" w:hAnsi="仿宋" w:eastAsia="仿宋" w:cs="仿宋"/>
          <w:color w:val="auto"/>
          <w:spacing w:val="-10"/>
          <w:sz w:val="28"/>
          <w:szCs w:val="28"/>
          <w:lang w:eastAsia="zh-CN"/>
        </w:rPr>
        <w:t xml:space="preserve">                  </w:t>
      </w:r>
      <w:bookmarkStart w:id="1" w:name="_GoBack"/>
      <w:bookmarkEnd w:id="1"/>
    </w:p>
    <w:p w14:paraId="694AAE08">
      <w:pPr>
        <w:spacing w:line="540" w:lineRule="exact"/>
        <w:ind w:firstLine="520" w:firstLineChars="200"/>
        <w:rPr>
          <w:rFonts w:ascii="仿宋" w:hAnsi="仿宋" w:eastAsia="仿宋" w:cs="仿宋"/>
          <w:color w:val="FF0000"/>
          <w:spacing w:val="-10"/>
          <w:sz w:val="28"/>
          <w:szCs w:val="28"/>
          <w:lang w:eastAsia="zh-CN"/>
        </w:rPr>
      </w:pPr>
      <w:r>
        <w:rPr>
          <w:rFonts w:hint="eastAsia" w:ascii="仿宋" w:hAnsi="仿宋" w:eastAsia="仿宋" w:cs="仿宋"/>
          <w:color w:val="auto"/>
          <w:spacing w:val="-10"/>
          <w:sz w:val="28"/>
          <w:szCs w:val="28"/>
          <w:lang w:eastAsia="zh-CN"/>
        </w:rPr>
        <w:t>联系方式：</w:t>
      </w:r>
      <w:r>
        <w:rPr>
          <w:rStyle w:val="7"/>
          <w:rFonts w:hint="eastAsia" w:ascii="仿宋" w:hAnsi="仿宋" w:eastAsia="仿宋" w:cs="仿宋"/>
          <w:b w:val="0"/>
          <w:color w:val="auto"/>
          <w:sz w:val="28"/>
          <w:szCs w:val="28"/>
          <w:lang w:eastAsia="zh-CN"/>
        </w:rPr>
        <w:t>0951-5606216</w:t>
      </w:r>
      <w:r>
        <w:rPr>
          <w:rFonts w:hint="eastAsia" w:ascii="仿宋" w:hAnsi="仿宋" w:eastAsia="仿宋" w:cs="仿宋"/>
          <w:color w:val="auto"/>
          <w:spacing w:val="-10"/>
          <w:sz w:val="28"/>
          <w:szCs w:val="28"/>
          <w:lang w:eastAsia="zh-CN"/>
        </w:rPr>
        <w:t xml:space="preserve">  </w:t>
      </w:r>
      <w:r>
        <w:rPr>
          <w:rFonts w:hint="eastAsia" w:ascii="仿宋" w:hAnsi="仿宋" w:eastAsia="仿宋" w:cs="仿宋"/>
          <w:color w:val="FF0000"/>
          <w:spacing w:val="-10"/>
          <w:sz w:val="28"/>
          <w:szCs w:val="28"/>
          <w:lang w:eastAsia="zh-CN"/>
        </w:rPr>
        <w:t xml:space="preserve">       </w:t>
      </w:r>
    </w:p>
    <w:p w14:paraId="17312A97">
      <w:pPr>
        <w:spacing w:line="560" w:lineRule="exact"/>
        <w:jc w:val="right"/>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代理机构：</w:t>
      </w:r>
      <w:r>
        <w:rPr>
          <w:rFonts w:hint="eastAsia" w:ascii="仿宋" w:hAnsi="仿宋" w:eastAsia="仿宋" w:cs="仿宋"/>
          <w:color w:val="auto"/>
          <w:sz w:val="28"/>
          <w:szCs w:val="28"/>
          <w:lang w:eastAsia="zh-CN"/>
        </w:rPr>
        <w:t>中天世纪国际招标有限公司</w:t>
      </w:r>
    </w:p>
    <w:p w14:paraId="070937B9">
      <w:pPr>
        <w:spacing w:line="560" w:lineRule="exact"/>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ab/>
      </w:r>
      <w:r>
        <w:rPr>
          <w:rFonts w:hint="eastAsia" w:ascii="仿宋" w:hAnsi="仿宋" w:eastAsia="仿宋" w:cs="仿宋"/>
          <w:color w:val="auto"/>
          <w:spacing w:val="-10"/>
          <w:sz w:val="28"/>
          <w:szCs w:val="28"/>
          <w:lang w:eastAsia="zh-CN"/>
        </w:rPr>
        <w:t xml:space="preserve">                                         </w:t>
      </w:r>
      <w:r>
        <w:rPr>
          <w:rFonts w:hint="eastAsia" w:ascii="仿宋" w:hAnsi="仿宋" w:eastAsia="仿宋" w:cs="仿宋"/>
          <w:color w:val="auto"/>
          <w:spacing w:val="-10"/>
          <w:sz w:val="28"/>
          <w:szCs w:val="28"/>
          <w:lang w:val="en-US" w:eastAsia="zh-CN"/>
        </w:rPr>
        <w:t>发布日期：</w:t>
      </w:r>
      <w:r>
        <w:rPr>
          <w:rFonts w:hint="eastAsia" w:ascii="仿宋" w:hAnsi="仿宋" w:eastAsia="仿宋" w:cs="仿宋"/>
          <w:color w:val="auto"/>
          <w:spacing w:val="-10"/>
          <w:sz w:val="28"/>
          <w:szCs w:val="28"/>
          <w:lang w:eastAsia="zh-CN"/>
        </w:rPr>
        <w:t xml:space="preserve"> 2025年</w:t>
      </w:r>
      <w:r>
        <w:rPr>
          <w:rFonts w:hint="eastAsia" w:ascii="仿宋" w:hAnsi="仿宋" w:eastAsia="仿宋" w:cs="仿宋"/>
          <w:color w:val="auto"/>
          <w:spacing w:val="-10"/>
          <w:sz w:val="28"/>
          <w:szCs w:val="28"/>
          <w:lang w:val="en-US" w:eastAsia="zh-CN"/>
        </w:rPr>
        <w:t>6</w:t>
      </w:r>
      <w:r>
        <w:rPr>
          <w:rFonts w:hint="eastAsia" w:ascii="仿宋" w:hAnsi="仿宋" w:eastAsia="仿宋" w:cs="仿宋"/>
          <w:color w:val="auto"/>
          <w:spacing w:val="-10"/>
          <w:sz w:val="28"/>
          <w:szCs w:val="28"/>
          <w:lang w:eastAsia="zh-CN"/>
        </w:rPr>
        <w:t>月</w:t>
      </w:r>
      <w:r>
        <w:rPr>
          <w:rFonts w:hint="eastAsia" w:ascii="仿宋" w:hAnsi="仿宋" w:eastAsia="仿宋" w:cs="仿宋"/>
          <w:color w:val="auto"/>
          <w:spacing w:val="-10"/>
          <w:sz w:val="28"/>
          <w:szCs w:val="28"/>
          <w:lang w:val="en-US" w:eastAsia="zh-CN"/>
        </w:rPr>
        <w:t>17</w:t>
      </w:r>
      <w:r>
        <w:rPr>
          <w:rFonts w:hint="eastAsia" w:ascii="仿宋" w:hAnsi="仿宋" w:eastAsia="仿宋" w:cs="仿宋"/>
          <w:color w:val="auto"/>
          <w:spacing w:val="-10"/>
          <w:sz w:val="28"/>
          <w:szCs w:val="28"/>
          <w:lang w:eastAsia="zh-CN"/>
        </w:rPr>
        <w:t>日</w:t>
      </w:r>
    </w:p>
    <w:p w14:paraId="0CFB0D7A"/>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141140"/>
    <w:rsid w:val="4CF15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 w:val="20"/>
    </w:rPr>
  </w:style>
  <w:style w:type="paragraph" w:styleId="3">
    <w:name w:val="Body Text"/>
    <w:basedOn w:val="1"/>
    <w:semiHidden/>
    <w:qFormat/>
    <w:uiPriority w:val="0"/>
  </w:style>
  <w:style w:type="paragraph" w:styleId="4">
    <w:name w:val="Body Text 2"/>
    <w:basedOn w:val="1"/>
    <w:qFormat/>
    <w:uiPriority w:val="0"/>
    <w:pPr>
      <w:ind w:right="893"/>
      <w:textAlignment w:val="bottom"/>
    </w:pPr>
    <w:rPr>
      <w:rFonts w:ascii="Times New Roman"/>
      <w:sz w:val="24"/>
      <w:szCs w:val="20"/>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2078</Words>
  <Characters>2313</Characters>
  <Lines>0</Lines>
  <Paragraphs>0</Paragraphs>
  <TotalTime>1</TotalTime>
  <ScaleCrop>false</ScaleCrop>
  <LinksUpToDate>false</LinksUpToDate>
  <CharactersWithSpaces>2496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2025-06-17T02:51:00Z</dcterms:created>
  <dc:creator>Lenovo</dc:creator>
  <cp:lastModifiedBy>Lenovo</cp:lastModifiedBy>
  <cp:lastPrinted>2025-06-17T02:53:00Z</cp:lastPrinted>
  <dcterms:modified xsi:type="dcterms:W3CDTF">2025-06-17T03:07:24Z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eyJoZGlkIjoiZjFhZGRlZTllNGMxMDAwNjBiYzY4ZmE3NzU3YzljNTIiLCJ1c2VySWQiOiIxNjEyNDY1MDgyIn0=</vt:lpwstr>
  </property>
  <property fmtid="{D5CDD505-2E9C-101B-9397-08002B2CF9AE}" pid="4" name="ICV">
    <vt:lpwstr>B1BAB2BA9670400F8E0E11CAB9FF54C6_12</vt:lpwstr>
  </property>
</Properties>
</file>